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5FBD8" w14:textId="77777777" w:rsidR="00B36EAD" w:rsidRPr="00886B7C" w:rsidRDefault="00B36EAD" w:rsidP="00886B7C">
      <w:pPr>
        <w:pStyle w:val="Title"/>
        <w:spacing w:line="360" w:lineRule="auto"/>
        <w:rPr>
          <w:rFonts w:ascii="Times New Roman" w:hAnsi="Times New Roman" w:cs="Times New Roman"/>
          <w:sz w:val="22"/>
          <w:szCs w:val="22"/>
        </w:rPr>
      </w:pPr>
      <w:r w:rsidRPr="00886B7C">
        <w:rPr>
          <w:rFonts w:ascii="Times New Roman" w:hAnsi="Times New Roman" w:cs="Times New Roman"/>
          <w:sz w:val="22"/>
          <w:szCs w:val="22"/>
        </w:rPr>
        <w:t xml:space="preserve">Running title: Dating geological history </w:t>
      </w:r>
      <w:r w:rsidR="001508AA" w:rsidRPr="00886B7C">
        <w:rPr>
          <w:rFonts w:ascii="Times New Roman" w:hAnsi="Times New Roman" w:cs="Times New Roman"/>
          <w:sz w:val="22"/>
          <w:szCs w:val="22"/>
        </w:rPr>
        <w:t xml:space="preserve">is successful </w:t>
      </w:r>
      <w:r w:rsidRPr="00886B7C">
        <w:rPr>
          <w:rFonts w:ascii="Times New Roman" w:hAnsi="Times New Roman" w:cs="Times New Roman"/>
          <w:sz w:val="22"/>
          <w:szCs w:val="22"/>
        </w:rPr>
        <w:t xml:space="preserve">with </w:t>
      </w:r>
      <w:r w:rsidR="001508AA" w:rsidRPr="00886B7C">
        <w:rPr>
          <w:rFonts w:ascii="Times New Roman" w:hAnsi="Times New Roman" w:cs="Times New Roman"/>
          <w:sz w:val="22"/>
          <w:szCs w:val="22"/>
        </w:rPr>
        <w:t>simulated</w:t>
      </w:r>
      <w:r w:rsidRPr="00886B7C">
        <w:rPr>
          <w:rFonts w:ascii="Times New Roman" w:hAnsi="Times New Roman" w:cs="Times New Roman"/>
          <w:sz w:val="22"/>
          <w:szCs w:val="22"/>
        </w:rPr>
        <w:t xml:space="preserve"> molecular data</w:t>
      </w:r>
    </w:p>
    <w:p w14:paraId="306B6210" w14:textId="77777777" w:rsidR="00B36EAD" w:rsidRPr="00886B7C" w:rsidRDefault="00B36EAD" w:rsidP="00886B7C">
      <w:pPr>
        <w:spacing w:line="360" w:lineRule="auto"/>
        <w:rPr>
          <w:b/>
          <w:bCs/>
          <w:sz w:val="22"/>
          <w:szCs w:val="22"/>
        </w:rPr>
      </w:pPr>
    </w:p>
    <w:p w14:paraId="229DDC6D" w14:textId="77777777" w:rsidR="002052CE" w:rsidRPr="00886B7C" w:rsidRDefault="00EF3DBA" w:rsidP="00886B7C">
      <w:pPr>
        <w:pStyle w:val="Heading1"/>
        <w:spacing w:line="360" w:lineRule="auto"/>
        <w:rPr>
          <w:rFonts w:ascii="Times New Roman" w:hAnsi="Times New Roman" w:cs="Times New Roman"/>
          <w:sz w:val="22"/>
          <w:szCs w:val="22"/>
        </w:rPr>
      </w:pPr>
      <w:r w:rsidRPr="00886B7C">
        <w:rPr>
          <w:rFonts w:ascii="Times New Roman" w:hAnsi="Times New Roman" w:cs="Times New Roman"/>
          <w:sz w:val="22"/>
          <w:szCs w:val="22"/>
        </w:rPr>
        <w:t>Introduction:</w:t>
      </w:r>
    </w:p>
    <w:p w14:paraId="1D1E088F" w14:textId="77777777" w:rsidR="009535AB" w:rsidRPr="00886B7C" w:rsidRDefault="00122814" w:rsidP="00886B7C">
      <w:pPr>
        <w:spacing w:line="360" w:lineRule="auto"/>
        <w:rPr>
          <w:sz w:val="22"/>
          <w:szCs w:val="22"/>
        </w:rPr>
      </w:pPr>
      <w:r w:rsidRPr="00886B7C">
        <w:rPr>
          <w:sz w:val="22"/>
          <w:szCs w:val="22"/>
        </w:rPr>
        <w:t>Biological</w:t>
      </w:r>
      <w:r w:rsidR="00D12413" w:rsidRPr="00886B7C">
        <w:rPr>
          <w:sz w:val="22"/>
          <w:szCs w:val="22"/>
        </w:rPr>
        <w:t xml:space="preserve"> and geographic </w:t>
      </w:r>
      <w:r w:rsidR="00B768A9" w:rsidRPr="00886B7C">
        <w:rPr>
          <w:sz w:val="22"/>
          <w:szCs w:val="22"/>
        </w:rPr>
        <w:t>information</w:t>
      </w:r>
      <w:r w:rsidR="00D12413" w:rsidRPr="00886B7C">
        <w:rPr>
          <w:sz w:val="22"/>
          <w:szCs w:val="22"/>
        </w:rPr>
        <w:t xml:space="preserve"> have long reciprocally informed hypotheses on one another (</w:t>
      </w:r>
      <w:r w:rsidR="00495A79" w:rsidRPr="00886B7C">
        <w:rPr>
          <w:sz w:val="22"/>
          <w:szCs w:val="22"/>
        </w:rPr>
        <w:t>Bueno-Hernández et al., 2023</w:t>
      </w:r>
      <w:r w:rsidR="00D12413" w:rsidRPr="00886B7C">
        <w:rPr>
          <w:sz w:val="22"/>
          <w:szCs w:val="22"/>
        </w:rPr>
        <w:t>)</w:t>
      </w:r>
      <w:r w:rsidRPr="00886B7C">
        <w:rPr>
          <w:sz w:val="22"/>
          <w:szCs w:val="22"/>
        </w:rPr>
        <w:t>.</w:t>
      </w:r>
      <w:r w:rsidR="00B768A9" w:rsidRPr="00886B7C">
        <w:rPr>
          <w:sz w:val="22"/>
          <w:szCs w:val="22"/>
        </w:rPr>
        <w:t xml:space="preserve"> Traditionally, pattern-based comparison</w:t>
      </w:r>
      <w:r w:rsidR="00BB5510" w:rsidRPr="00886B7C">
        <w:rPr>
          <w:sz w:val="22"/>
          <w:szCs w:val="22"/>
        </w:rPr>
        <w:t>s</w:t>
      </w:r>
      <w:r w:rsidR="00B768A9" w:rsidRPr="00886B7C">
        <w:rPr>
          <w:sz w:val="22"/>
          <w:szCs w:val="22"/>
        </w:rPr>
        <w:t xml:space="preserve"> between geographic and biological distribution data informed most biogeographic hypotheses.</w:t>
      </w:r>
      <w:r w:rsidRPr="00886B7C">
        <w:rPr>
          <w:sz w:val="22"/>
          <w:szCs w:val="22"/>
        </w:rPr>
        <w:t xml:space="preserve"> </w:t>
      </w:r>
      <w:r w:rsidR="00B768A9" w:rsidRPr="00886B7C">
        <w:rPr>
          <w:sz w:val="22"/>
          <w:szCs w:val="22"/>
        </w:rPr>
        <w:t xml:space="preserve">Through the development of different strategies in statistical methods applying fossil calibrations to phylogenies (Parham et al., 2012), and an increase in high-quality DNA data (Rieux &amp; </w:t>
      </w:r>
      <w:proofErr w:type="spellStart"/>
      <w:r w:rsidR="00B768A9" w:rsidRPr="00886B7C">
        <w:rPr>
          <w:sz w:val="22"/>
          <w:szCs w:val="22"/>
        </w:rPr>
        <w:t>Balloux</w:t>
      </w:r>
      <w:proofErr w:type="spellEnd"/>
      <w:r w:rsidR="00B768A9" w:rsidRPr="00886B7C">
        <w:rPr>
          <w:sz w:val="22"/>
          <w:szCs w:val="22"/>
        </w:rPr>
        <w:t xml:space="preserve">, 2016), biogeographic </w:t>
      </w:r>
      <w:r w:rsidR="00A06E09" w:rsidRPr="00886B7C">
        <w:rPr>
          <w:sz w:val="22"/>
          <w:szCs w:val="22"/>
        </w:rPr>
        <w:t xml:space="preserve">research </w:t>
      </w:r>
      <w:r w:rsidR="002F75BA" w:rsidRPr="00886B7C">
        <w:rPr>
          <w:sz w:val="22"/>
          <w:szCs w:val="22"/>
        </w:rPr>
        <w:t>now</w:t>
      </w:r>
      <w:r w:rsidR="00A06E09" w:rsidRPr="00886B7C">
        <w:rPr>
          <w:sz w:val="22"/>
          <w:szCs w:val="22"/>
        </w:rPr>
        <w:t xml:space="preserve"> not only focus on searching for </w:t>
      </w:r>
      <w:r w:rsidR="00B768A9" w:rsidRPr="00886B7C">
        <w:rPr>
          <w:sz w:val="22"/>
          <w:szCs w:val="22"/>
        </w:rPr>
        <w:t xml:space="preserve">pattern congruence </w:t>
      </w:r>
      <w:r w:rsidR="00A06E09" w:rsidRPr="00886B7C">
        <w:rPr>
          <w:sz w:val="22"/>
          <w:szCs w:val="22"/>
        </w:rPr>
        <w:t xml:space="preserve">but also </w:t>
      </w:r>
      <w:r w:rsidR="00B768A9" w:rsidRPr="00886B7C">
        <w:rPr>
          <w:sz w:val="22"/>
          <w:szCs w:val="22"/>
        </w:rPr>
        <w:t xml:space="preserve">may explicitly test </w:t>
      </w:r>
      <w:r w:rsidR="00A06E09" w:rsidRPr="00886B7C">
        <w:rPr>
          <w:sz w:val="22"/>
          <w:szCs w:val="22"/>
        </w:rPr>
        <w:t xml:space="preserve">data-driven hypotheses. </w:t>
      </w:r>
      <w:r w:rsidR="00B768A9" w:rsidRPr="00886B7C">
        <w:rPr>
          <w:sz w:val="22"/>
          <w:szCs w:val="22"/>
        </w:rPr>
        <w:t xml:space="preserve">In fact, </w:t>
      </w:r>
      <w:r w:rsidR="00BB5510" w:rsidRPr="00886B7C">
        <w:rPr>
          <w:sz w:val="22"/>
          <w:szCs w:val="22"/>
        </w:rPr>
        <w:t>many large</w:t>
      </w:r>
      <w:r w:rsidR="00B768A9" w:rsidRPr="00886B7C">
        <w:rPr>
          <w:sz w:val="22"/>
          <w:szCs w:val="22"/>
        </w:rPr>
        <w:t xml:space="preserve"> clades across the tree of life now are now broadly accepted as reliably dated (dos Reis et al., 2012; Harris &amp; Davies, 2016).</w:t>
      </w:r>
      <w:r w:rsidR="009535AB" w:rsidRPr="00886B7C">
        <w:rPr>
          <w:sz w:val="22"/>
          <w:szCs w:val="22"/>
        </w:rPr>
        <w:t xml:space="preserve"> </w:t>
      </w:r>
      <w:r w:rsidR="00BB5510" w:rsidRPr="00886B7C">
        <w:rPr>
          <w:sz w:val="22"/>
          <w:szCs w:val="22"/>
        </w:rPr>
        <w:t>Research</w:t>
      </w:r>
      <w:r w:rsidR="00D12413" w:rsidRPr="00886B7C">
        <w:rPr>
          <w:sz w:val="22"/>
          <w:szCs w:val="22"/>
        </w:rPr>
        <w:t xml:space="preserve"> focused on</w:t>
      </w:r>
      <w:r w:rsidR="00BB5510" w:rsidRPr="00886B7C">
        <w:rPr>
          <w:sz w:val="22"/>
          <w:szCs w:val="22"/>
        </w:rPr>
        <w:t xml:space="preserve"> dating phylogenies has recently trended to</w:t>
      </w:r>
      <w:r w:rsidR="00D12413" w:rsidRPr="00886B7C">
        <w:rPr>
          <w:sz w:val="22"/>
          <w:szCs w:val="22"/>
        </w:rPr>
        <w:t xml:space="preserve"> applying biogeographic priors </w:t>
      </w:r>
      <w:r w:rsidR="00495A79" w:rsidRPr="00886B7C">
        <w:rPr>
          <w:sz w:val="22"/>
          <w:szCs w:val="22"/>
        </w:rPr>
        <w:t>to</w:t>
      </w:r>
      <w:r w:rsidR="00D12413" w:rsidRPr="00886B7C">
        <w:rPr>
          <w:sz w:val="22"/>
          <w:szCs w:val="22"/>
        </w:rPr>
        <w:t xml:space="preserve"> </w:t>
      </w:r>
      <w:r w:rsidR="00495A79" w:rsidRPr="00886B7C">
        <w:rPr>
          <w:sz w:val="22"/>
          <w:szCs w:val="22"/>
        </w:rPr>
        <w:t>time</w:t>
      </w:r>
      <w:r w:rsidR="00D12413" w:rsidRPr="00886B7C">
        <w:rPr>
          <w:sz w:val="22"/>
          <w:szCs w:val="22"/>
        </w:rPr>
        <w:t xml:space="preserve"> phylogenetic models.</w:t>
      </w:r>
      <w:r w:rsidR="00495A79" w:rsidRPr="00886B7C">
        <w:rPr>
          <w:sz w:val="22"/>
          <w:szCs w:val="22"/>
        </w:rPr>
        <w:t xml:space="preserve"> </w:t>
      </w:r>
      <w:r w:rsidR="00D12413" w:rsidRPr="00886B7C">
        <w:rPr>
          <w:sz w:val="22"/>
          <w:szCs w:val="22"/>
        </w:rPr>
        <w:t>I</w:t>
      </w:r>
      <w:r w:rsidR="005A29FC" w:rsidRPr="00886B7C">
        <w:rPr>
          <w:sz w:val="22"/>
          <w:szCs w:val="22"/>
        </w:rPr>
        <w:t>n both theoretical and empirical (</w:t>
      </w:r>
      <w:r w:rsidR="00F26290" w:rsidRPr="00886B7C">
        <w:rPr>
          <w:sz w:val="22"/>
          <w:szCs w:val="22"/>
        </w:rPr>
        <w:t>Landis, 2017</w:t>
      </w:r>
      <w:r w:rsidR="005A29FC" w:rsidRPr="00886B7C">
        <w:rPr>
          <w:sz w:val="22"/>
          <w:szCs w:val="22"/>
        </w:rPr>
        <w:t>) systems,</w:t>
      </w:r>
      <w:r w:rsidR="000228E8" w:rsidRPr="00886B7C">
        <w:rPr>
          <w:sz w:val="22"/>
          <w:szCs w:val="22"/>
        </w:rPr>
        <w:t xml:space="preserve"> tip-based methods have been successful in using</w:t>
      </w:r>
      <w:r w:rsidR="005A29FC" w:rsidRPr="00886B7C">
        <w:rPr>
          <w:sz w:val="22"/>
          <w:szCs w:val="22"/>
        </w:rPr>
        <w:t xml:space="preserve"> biogeographic information </w:t>
      </w:r>
      <w:r w:rsidR="000228E8" w:rsidRPr="00886B7C">
        <w:rPr>
          <w:sz w:val="22"/>
          <w:szCs w:val="22"/>
        </w:rPr>
        <w:t xml:space="preserve">to </w:t>
      </w:r>
      <w:r w:rsidR="00CC5B51" w:rsidRPr="00886B7C">
        <w:rPr>
          <w:sz w:val="22"/>
          <w:szCs w:val="22"/>
        </w:rPr>
        <w:t>calibrat</w:t>
      </w:r>
      <w:r w:rsidR="000228E8" w:rsidRPr="00886B7C">
        <w:rPr>
          <w:sz w:val="22"/>
          <w:szCs w:val="22"/>
        </w:rPr>
        <w:t xml:space="preserve">e </w:t>
      </w:r>
      <w:r w:rsidR="00CC5B51" w:rsidRPr="00886B7C">
        <w:rPr>
          <w:sz w:val="22"/>
          <w:szCs w:val="22"/>
        </w:rPr>
        <w:t>dated</w:t>
      </w:r>
      <w:r w:rsidR="005A29FC" w:rsidRPr="00886B7C">
        <w:rPr>
          <w:sz w:val="22"/>
          <w:szCs w:val="22"/>
        </w:rPr>
        <w:t xml:space="preserve"> phylogenies. </w:t>
      </w:r>
      <w:r w:rsidR="00F26290" w:rsidRPr="00886B7C">
        <w:rPr>
          <w:sz w:val="22"/>
          <w:szCs w:val="22"/>
        </w:rPr>
        <w:t xml:space="preserve">Like fossil tip-dating methods, the observed biogeographic states </w:t>
      </w:r>
      <w:r w:rsidR="000228E8" w:rsidRPr="00886B7C">
        <w:rPr>
          <w:sz w:val="22"/>
          <w:szCs w:val="22"/>
        </w:rPr>
        <w:t>of</w:t>
      </w:r>
      <w:r w:rsidR="00F26290" w:rsidRPr="00886B7C">
        <w:rPr>
          <w:sz w:val="22"/>
          <w:szCs w:val="22"/>
        </w:rPr>
        <w:t xml:space="preserve"> present </w:t>
      </w:r>
      <w:r w:rsidR="000228E8" w:rsidRPr="00886B7C">
        <w:rPr>
          <w:sz w:val="22"/>
          <w:szCs w:val="22"/>
        </w:rPr>
        <w:t xml:space="preserve">organisms </w:t>
      </w:r>
      <w:r w:rsidR="00273E89" w:rsidRPr="00886B7C">
        <w:rPr>
          <w:sz w:val="22"/>
          <w:szCs w:val="22"/>
        </w:rPr>
        <w:t xml:space="preserve">can </w:t>
      </w:r>
      <w:r w:rsidR="00F26290" w:rsidRPr="00886B7C">
        <w:rPr>
          <w:sz w:val="22"/>
          <w:szCs w:val="22"/>
        </w:rPr>
        <w:t xml:space="preserve">successfully create a posterior distribution of speciation times to calibrate trees. When combined with known biogeographic priors, such as the advent of islands (Landis et al., 2018), calibration can be further refined. </w:t>
      </w:r>
    </w:p>
    <w:p w14:paraId="243B09F4" w14:textId="77777777" w:rsidR="009535AB" w:rsidRPr="00886B7C" w:rsidRDefault="009535AB" w:rsidP="00886B7C">
      <w:pPr>
        <w:spacing w:line="360" w:lineRule="auto"/>
        <w:rPr>
          <w:sz w:val="22"/>
          <w:szCs w:val="22"/>
        </w:rPr>
      </w:pPr>
    </w:p>
    <w:p w14:paraId="07F98B5E" w14:textId="77777777" w:rsidR="00FE3E09" w:rsidRPr="00886B7C" w:rsidRDefault="004B1853" w:rsidP="00886B7C">
      <w:pPr>
        <w:spacing w:line="360" w:lineRule="auto"/>
        <w:rPr>
          <w:sz w:val="22"/>
          <w:szCs w:val="22"/>
        </w:rPr>
      </w:pPr>
      <w:r w:rsidRPr="00886B7C">
        <w:rPr>
          <w:sz w:val="22"/>
          <w:szCs w:val="22"/>
        </w:rPr>
        <w:t>While geographic history has now been repeatedly successful in analyzing biological data, research on the inverse of these reciprocal analyses has only just begun to inspire further investigation</w:t>
      </w:r>
      <w:r w:rsidR="00D12413" w:rsidRPr="00886B7C">
        <w:rPr>
          <w:sz w:val="22"/>
          <w:szCs w:val="22"/>
        </w:rPr>
        <w:t xml:space="preserve">. </w:t>
      </w:r>
      <w:r w:rsidR="009535AB" w:rsidRPr="00886B7C">
        <w:rPr>
          <w:sz w:val="22"/>
          <w:szCs w:val="22"/>
        </w:rPr>
        <w:t xml:space="preserve">The rapidly expanding resources of high-quality genetic data have led researchers to use </w:t>
      </w:r>
      <w:r w:rsidRPr="00886B7C">
        <w:rPr>
          <w:sz w:val="22"/>
          <w:szCs w:val="22"/>
        </w:rPr>
        <w:t xml:space="preserve">molecular </w:t>
      </w:r>
      <w:r w:rsidR="009535AB" w:rsidRPr="00886B7C">
        <w:rPr>
          <w:sz w:val="22"/>
          <w:szCs w:val="22"/>
        </w:rPr>
        <w:t xml:space="preserve">information to address questions </w:t>
      </w:r>
      <w:r w:rsidRPr="00886B7C">
        <w:rPr>
          <w:sz w:val="22"/>
          <w:szCs w:val="22"/>
        </w:rPr>
        <w:t>about historic geographic processes</w:t>
      </w:r>
      <w:r w:rsidR="009535AB" w:rsidRPr="00886B7C">
        <w:rPr>
          <w:sz w:val="22"/>
          <w:szCs w:val="22"/>
        </w:rPr>
        <w:t>. In “</w:t>
      </w:r>
      <w:proofErr w:type="spellStart"/>
      <w:r w:rsidR="009535AB" w:rsidRPr="00886B7C">
        <w:rPr>
          <w:sz w:val="22"/>
          <w:szCs w:val="22"/>
        </w:rPr>
        <w:t>geogenomics</w:t>
      </w:r>
      <w:proofErr w:type="spellEnd"/>
      <w:r w:rsidR="009535AB" w:rsidRPr="00886B7C">
        <w:rPr>
          <w:sz w:val="22"/>
          <w:szCs w:val="22"/>
        </w:rPr>
        <w:t xml:space="preserve">”, genetic data is used to test or constrain geological hypotheses (Baker et al., 2014), allowing genetic information to fill in knowledge gaps where other paleogeographic methods are limited. </w:t>
      </w:r>
      <w:proofErr w:type="spellStart"/>
      <w:r w:rsidR="002F75BA" w:rsidRPr="00886B7C">
        <w:rPr>
          <w:sz w:val="22"/>
          <w:szCs w:val="22"/>
        </w:rPr>
        <w:t>Geogenomic</w:t>
      </w:r>
      <w:proofErr w:type="spellEnd"/>
      <w:r w:rsidR="002F75BA" w:rsidRPr="00886B7C">
        <w:rPr>
          <w:sz w:val="22"/>
          <w:szCs w:val="22"/>
        </w:rPr>
        <w:t xml:space="preserve"> methods do not just confirm or deny the validity of biogeographic </w:t>
      </w:r>
      <w:proofErr w:type="gramStart"/>
      <w:r w:rsidR="002F75BA" w:rsidRPr="00886B7C">
        <w:rPr>
          <w:sz w:val="22"/>
          <w:szCs w:val="22"/>
        </w:rPr>
        <w:t>patterns, but</w:t>
      </w:r>
      <w:proofErr w:type="gramEnd"/>
      <w:r w:rsidR="002F75BA" w:rsidRPr="00886B7C">
        <w:rPr>
          <w:sz w:val="22"/>
          <w:szCs w:val="22"/>
        </w:rPr>
        <w:t xml:space="preserve"> specifically aim to understand the mechanisms by which biological and geological forces act upon one another (Dolby et al., 2022). </w:t>
      </w:r>
      <w:r w:rsidR="00DE6102" w:rsidRPr="00886B7C">
        <w:rPr>
          <w:sz w:val="22"/>
          <w:szCs w:val="22"/>
        </w:rPr>
        <w:t xml:space="preserve">This </w:t>
      </w:r>
      <w:proofErr w:type="spellStart"/>
      <w:r w:rsidR="00DE6102" w:rsidRPr="00886B7C">
        <w:rPr>
          <w:sz w:val="22"/>
          <w:szCs w:val="22"/>
        </w:rPr>
        <w:t>geogenomic</w:t>
      </w:r>
      <w:proofErr w:type="spellEnd"/>
      <w:r w:rsidR="00DE6102" w:rsidRPr="00886B7C">
        <w:rPr>
          <w:sz w:val="22"/>
          <w:szCs w:val="22"/>
        </w:rPr>
        <w:t xml:space="preserve"> framework provides opportunities to model biogeographic history strictly from molecular data</w:t>
      </w:r>
      <w:r w:rsidR="00795AAC" w:rsidRPr="00886B7C">
        <w:rPr>
          <w:sz w:val="22"/>
          <w:szCs w:val="22"/>
        </w:rPr>
        <w:t xml:space="preserve">, such as </w:t>
      </w:r>
      <w:r w:rsidR="00DE6102" w:rsidRPr="00886B7C">
        <w:rPr>
          <w:sz w:val="22"/>
          <w:szCs w:val="22"/>
        </w:rPr>
        <w:t>where topographic disruptions existed in presently continuous landscapes using phylogenetic divergence of extant species (</w:t>
      </w:r>
      <w:proofErr w:type="spellStart"/>
      <w:r w:rsidR="00DE6102" w:rsidRPr="00886B7C">
        <w:rPr>
          <w:sz w:val="22"/>
          <w:szCs w:val="22"/>
        </w:rPr>
        <w:t>Sanín</w:t>
      </w:r>
      <w:proofErr w:type="spellEnd"/>
      <w:r w:rsidR="00DE6102" w:rsidRPr="00886B7C">
        <w:rPr>
          <w:sz w:val="22"/>
          <w:szCs w:val="22"/>
        </w:rPr>
        <w:t xml:space="preserve"> et al., 2022)</w:t>
      </w:r>
      <w:r w:rsidR="0073681D" w:rsidRPr="00886B7C">
        <w:rPr>
          <w:sz w:val="22"/>
          <w:szCs w:val="22"/>
        </w:rPr>
        <w:t xml:space="preserve">, and </w:t>
      </w:r>
      <w:r w:rsidR="00795AAC" w:rsidRPr="00886B7C">
        <w:rPr>
          <w:sz w:val="22"/>
          <w:szCs w:val="22"/>
        </w:rPr>
        <w:t xml:space="preserve">the configuration of drainage basins </w:t>
      </w:r>
      <w:r w:rsidR="0073681D" w:rsidRPr="00886B7C">
        <w:rPr>
          <w:sz w:val="22"/>
          <w:szCs w:val="22"/>
        </w:rPr>
        <w:t>over time (Bedoya et al., 2021)</w:t>
      </w:r>
      <w:r w:rsidR="00DE6102" w:rsidRPr="00886B7C">
        <w:rPr>
          <w:sz w:val="22"/>
          <w:szCs w:val="22"/>
        </w:rPr>
        <w:t xml:space="preserve">. </w:t>
      </w:r>
      <w:r w:rsidR="00131287" w:rsidRPr="00886B7C">
        <w:rPr>
          <w:sz w:val="22"/>
          <w:szCs w:val="22"/>
        </w:rPr>
        <w:t xml:space="preserve">Further unexplored empirical hypotheses remain to be tested, such as using genetic data to predict timing of geological events like volcanic eruptions or landslides (Dolby et al., 2022). </w:t>
      </w:r>
      <w:r w:rsidR="00DE6102" w:rsidRPr="00886B7C">
        <w:rPr>
          <w:sz w:val="22"/>
          <w:szCs w:val="22"/>
        </w:rPr>
        <w:t xml:space="preserve">Yet, theoretical testing of the </w:t>
      </w:r>
      <w:proofErr w:type="spellStart"/>
      <w:r w:rsidR="00DE6102" w:rsidRPr="00886B7C">
        <w:rPr>
          <w:sz w:val="22"/>
          <w:szCs w:val="22"/>
        </w:rPr>
        <w:t>geogenomic</w:t>
      </w:r>
      <w:proofErr w:type="spellEnd"/>
      <w:r w:rsidR="00DE6102" w:rsidRPr="00886B7C">
        <w:rPr>
          <w:sz w:val="22"/>
          <w:szCs w:val="22"/>
        </w:rPr>
        <w:t xml:space="preserve"> method is lacking. </w:t>
      </w:r>
      <w:r w:rsidR="004125AB" w:rsidRPr="00886B7C">
        <w:rPr>
          <w:sz w:val="22"/>
          <w:szCs w:val="22"/>
        </w:rPr>
        <w:t>We address this issue here with a simulated dataset.</w:t>
      </w:r>
    </w:p>
    <w:p w14:paraId="0B6451B2" w14:textId="77777777" w:rsidR="00FE3E09" w:rsidRPr="00886B7C" w:rsidRDefault="00FE3E09" w:rsidP="00886B7C">
      <w:pPr>
        <w:spacing w:line="360" w:lineRule="auto"/>
        <w:rPr>
          <w:sz w:val="22"/>
          <w:szCs w:val="22"/>
        </w:rPr>
      </w:pPr>
    </w:p>
    <w:p w14:paraId="229EC427" w14:textId="77777777" w:rsidR="00EF3DBA" w:rsidRPr="00886B7C" w:rsidRDefault="004A3EE5" w:rsidP="00886B7C">
      <w:pPr>
        <w:spacing w:line="360" w:lineRule="auto"/>
        <w:rPr>
          <w:sz w:val="22"/>
          <w:szCs w:val="22"/>
        </w:rPr>
      </w:pPr>
      <w:r w:rsidRPr="00886B7C">
        <w:rPr>
          <w:sz w:val="22"/>
          <w:szCs w:val="22"/>
        </w:rPr>
        <w:lastRenderedPageBreak/>
        <w:t>We use</w:t>
      </w:r>
      <w:r w:rsidR="0049068F" w:rsidRPr="00886B7C">
        <w:rPr>
          <w:sz w:val="22"/>
          <w:szCs w:val="22"/>
        </w:rPr>
        <w:t xml:space="preserve"> an</w:t>
      </w:r>
      <w:r w:rsidRPr="00886B7C">
        <w:rPr>
          <w:sz w:val="22"/>
          <w:szCs w:val="22"/>
        </w:rPr>
        <w:t xml:space="preserve"> </w:t>
      </w:r>
      <w:r w:rsidR="0049068F" w:rsidRPr="00886B7C">
        <w:rPr>
          <w:sz w:val="22"/>
          <w:szCs w:val="22"/>
        </w:rPr>
        <w:t>existing</w:t>
      </w:r>
      <w:r w:rsidRPr="00886B7C">
        <w:rPr>
          <w:sz w:val="22"/>
          <w:szCs w:val="22"/>
        </w:rPr>
        <w:t xml:space="preserve"> methodological framework </w:t>
      </w:r>
      <w:r w:rsidR="0049068F" w:rsidRPr="00886B7C">
        <w:rPr>
          <w:sz w:val="22"/>
          <w:szCs w:val="22"/>
        </w:rPr>
        <w:t>(</w:t>
      </w:r>
      <w:r w:rsidRPr="00886B7C">
        <w:rPr>
          <w:sz w:val="22"/>
          <w:szCs w:val="22"/>
        </w:rPr>
        <w:t>Landis</w:t>
      </w:r>
      <w:r w:rsidR="0049068F" w:rsidRPr="00886B7C">
        <w:rPr>
          <w:sz w:val="22"/>
          <w:szCs w:val="22"/>
        </w:rPr>
        <w:t>, 2017)</w:t>
      </w:r>
      <w:r w:rsidRPr="00886B7C">
        <w:rPr>
          <w:sz w:val="22"/>
          <w:szCs w:val="22"/>
        </w:rPr>
        <w:t xml:space="preserve"> to ask if</w:t>
      </w:r>
      <w:r w:rsidR="005A29FC" w:rsidRPr="00886B7C">
        <w:rPr>
          <w:sz w:val="22"/>
          <w:szCs w:val="22"/>
        </w:rPr>
        <w:t xml:space="preserve"> a well-supported</w:t>
      </w:r>
      <w:r w:rsidR="00D12413" w:rsidRPr="00886B7C">
        <w:rPr>
          <w:sz w:val="22"/>
          <w:szCs w:val="22"/>
        </w:rPr>
        <w:t xml:space="preserve">, </w:t>
      </w:r>
      <w:proofErr w:type="gramStart"/>
      <w:r w:rsidR="005A29FC" w:rsidRPr="00886B7C">
        <w:rPr>
          <w:sz w:val="22"/>
          <w:szCs w:val="22"/>
        </w:rPr>
        <w:t>accurately-dated</w:t>
      </w:r>
      <w:proofErr w:type="gramEnd"/>
      <w:r w:rsidR="005A29FC" w:rsidRPr="00886B7C">
        <w:rPr>
          <w:sz w:val="22"/>
          <w:szCs w:val="22"/>
        </w:rPr>
        <w:t xml:space="preserve"> molecular phylogeny estimate the dates of biogeographic events</w:t>
      </w:r>
      <w:r w:rsidRPr="00886B7C">
        <w:rPr>
          <w:sz w:val="22"/>
          <w:szCs w:val="22"/>
        </w:rPr>
        <w:t xml:space="preserve"> without prior information.</w:t>
      </w:r>
      <w:r w:rsidR="005A29FC" w:rsidRPr="00886B7C">
        <w:rPr>
          <w:sz w:val="22"/>
          <w:szCs w:val="22"/>
        </w:rPr>
        <w:t xml:space="preserve"> </w:t>
      </w:r>
      <w:r w:rsidR="009535AB" w:rsidRPr="00886B7C">
        <w:rPr>
          <w:sz w:val="22"/>
          <w:szCs w:val="22"/>
        </w:rPr>
        <w:t>Answering this question will support the increasing interest in and need for applying biological data to answer biogeographic questions.</w:t>
      </w:r>
      <w:r w:rsidR="0049068F" w:rsidRPr="00886B7C">
        <w:rPr>
          <w:sz w:val="22"/>
          <w:szCs w:val="22"/>
        </w:rPr>
        <w:t xml:space="preserve"> </w:t>
      </w:r>
      <w:r w:rsidR="005A29FC" w:rsidRPr="00886B7C">
        <w:rPr>
          <w:sz w:val="22"/>
          <w:szCs w:val="22"/>
        </w:rPr>
        <w:t>In using this simulated dataset with known evolutionary and biogeographic history, we test the potential for well-calibrated phylogenies to estimate biogeographic events.</w:t>
      </w:r>
      <w:r w:rsidR="00D41089" w:rsidRPr="00886B7C">
        <w:rPr>
          <w:sz w:val="22"/>
          <w:szCs w:val="22"/>
        </w:rPr>
        <w:t xml:space="preserve"> </w:t>
      </w:r>
      <w:r w:rsidR="001C56B8" w:rsidRPr="00886B7C">
        <w:rPr>
          <w:sz w:val="22"/>
          <w:szCs w:val="22"/>
        </w:rPr>
        <w:t>In a model scenario, a river-dwelling angiosperm lineage occurs in a river basin that has experienced two historic biogeographic barriers</w:t>
      </w:r>
      <w:r w:rsidR="000A7270" w:rsidRPr="00886B7C">
        <w:rPr>
          <w:sz w:val="22"/>
          <w:szCs w:val="22"/>
        </w:rPr>
        <w:t xml:space="preserve">. </w:t>
      </w:r>
      <w:r w:rsidR="00302DB5" w:rsidRPr="00886B7C">
        <w:rPr>
          <w:sz w:val="22"/>
          <w:szCs w:val="22"/>
        </w:rPr>
        <w:t>This model group of a</w:t>
      </w:r>
      <w:r w:rsidR="007D374C" w:rsidRPr="00886B7C">
        <w:rPr>
          <w:sz w:val="22"/>
          <w:szCs w:val="22"/>
        </w:rPr>
        <w:t>quatic riparian species</w:t>
      </w:r>
      <w:r w:rsidR="00302DB5" w:rsidRPr="00886B7C">
        <w:rPr>
          <w:sz w:val="22"/>
          <w:szCs w:val="22"/>
        </w:rPr>
        <w:t xml:space="preserve"> is suitable for analyses, because individuals do not </w:t>
      </w:r>
      <w:proofErr w:type="gramStart"/>
      <w:r w:rsidR="00302DB5" w:rsidRPr="00886B7C">
        <w:rPr>
          <w:sz w:val="22"/>
          <w:szCs w:val="22"/>
        </w:rPr>
        <w:t>migrate</w:t>
      </w:r>
      <w:proofErr w:type="gramEnd"/>
      <w:r w:rsidR="00302DB5" w:rsidRPr="00886B7C">
        <w:rPr>
          <w:sz w:val="22"/>
          <w:szCs w:val="22"/>
        </w:rPr>
        <w:t xml:space="preserve"> and species are restricted to highly specific and diagnosable ranges. We assume a barrier, such as mountain uplift, creates a branching in a river ecosystem at three and one million years before present. The ensuing three distinct river branches allow for speciation, with a phylogeny whose branches mirror the river ecosystem (Figure 1).</w:t>
      </w:r>
    </w:p>
    <w:p w14:paraId="3FD7BF45" w14:textId="77777777" w:rsidR="000A7270" w:rsidRPr="00886B7C" w:rsidRDefault="000A7270" w:rsidP="00886B7C">
      <w:pPr>
        <w:spacing w:line="360" w:lineRule="auto"/>
        <w:rPr>
          <w:sz w:val="22"/>
          <w:szCs w:val="22"/>
        </w:rPr>
      </w:pPr>
    </w:p>
    <w:p w14:paraId="52D18F42" w14:textId="77777777" w:rsidR="000A7270" w:rsidRPr="00886B7C" w:rsidRDefault="000A7270" w:rsidP="00886B7C">
      <w:pPr>
        <w:spacing w:line="360" w:lineRule="auto"/>
        <w:jc w:val="center"/>
        <w:rPr>
          <w:sz w:val="22"/>
          <w:szCs w:val="22"/>
        </w:rPr>
      </w:pPr>
      <w:r w:rsidRPr="00886B7C">
        <w:rPr>
          <w:b/>
          <w:bCs/>
          <w:sz w:val="22"/>
          <w:szCs w:val="22"/>
        </w:rPr>
        <w:t xml:space="preserve">Figure 1: </w:t>
      </w:r>
      <w:r w:rsidRPr="00886B7C">
        <w:rPr>
          <w:sz w:val="22"/>
          <w:szCs w:val="22"/>
        </w:rPr>
        <w:t>Biogeographic model for simulated organisms.</w:t>
      </w:r>
      <w:r w:rsidR="00790791" w:rsidRPr="00886B7C">
        <w:rPr>
          <w:sz w:val="22"/>
          <w:szCs w:val="22"/>
        </w:rPr>
        <w:t xml:space="preserve"> Dotted lines represent known biogeographic dates of uplift marking epoch transitions at three and one million years ago.</w:t>
      </w:r>
    </w:p>
    <w:p w14:paraId="4C71C4F9" w14:textId="77777777" w:rsidR="001C56B8" w:rsidRPr="00886B7C" w:rsidRDefault="001C56B8" w:rsidP="00886B7C">
      <w:pPr>
        <w:spacing w:line="360" w:lineRule="auto"/>
        <w:rPr>
          <w:b/>
          <w:bCs/>
          <w:sz w:val="22"/>
          <w:szCs w:val="22"/>
        </w:rPr>
      </w:pPr>
    </w:p>
    <w:p w14:paraId="439E50CF" w14:textId="77777777" w:rsidR="00EF3DBA" w:rsidRPr="00886B7C" w:rsidRDefault="00EF3DBA" w:rsidP="00886B7C">
      <w:pPr>
        <w:spacing w:line="360" w:lineRule="auto"/>
        <w:rPr>
          <w:b/>
          <w:bCs/>
          <w:sz w:val="22"/>
          <w:szCs w:val="22"/>
        </w:rPr>
      </w:pPr>
      <w:r w:rsidRPr="00886B7C">
        <w:rPr>
          <w:b/>
          <w:bCs/>
          <w:sz w:val="22"/>
          <w:szCs w:val="22"/>
        </w:rPr>
        <w:t>Methods:</w:t>
      </w:r>
    </w:p>
    <w:p w14:paraId="2B8EF290" w14:textId="77777777" w:rsidR="002278A1" w:rsidRPr="00886B7C" w:rsidRDefault="00731D09" w:rsidP="00886B7C">
      <w:pPr>
        <w:spacing w:line="360" w:lineRule="auto"/>
        <w:rPr>
          <w:b/>
          <w:bCs/>
          <w:sz w:val="22"/>
          <w:szCs w:val="22"/>
        </w:rPr>
      </w:pPr>
      <w:r w:rsidRPr="00886B7C">
        <w:rPr>
          <w:b/>
          <w:bCs/>
          <w:sz w:val="22"/>
          <w:szCs w:val="22"/>
        </w:rPr>
        <w:t>Demographic and molecular</w:t>
      </w:r>
      <w:r w:rsidR="002278A1" w:rsidRPr="00886B7C">
        <w:rPr>
          <w:b/>
          <w:bCs/>
          <w:sz w:val="22"/>
          <w:szCs w:val="22"/>
        </w:rPr>
        <w:t xml:space="preserve"> simulation:</w:t>
      </w:r>
    </w:p>
    <w:p w14:paraId="25FC3E3A" w14:textId="77777777" w:rsidR="002278A1" w:rsidRPr="00886B7C" w:rsidRDefault="00731D09" w:rsidP="00886B7C">
      <w:pPr>
        <w:spacing w:line="360" w:lineRule="auto"/>
        <w:rPr>
          <w:sz w:val="22"/>
          <w:szCs w:val="22"/>
        </w:rPr>
      </w:pPr>
      <w:r w:rsidRPr="00886B7C">
        <w:rPr>
          <w:sz w:val="22"/>
          <w:szCs w:val="22"/>
        </w:rPr>
        <w:t>A model phylogeny containing three taxa was generated in python using the package</w:t>
      </w:r>
      <w:r w:rsidR="00632DF9" w:rsidRPr="00886B7C">
        <w:rPr>
          <w:sz w:val="22"/>
          <w:szCs w:val="22"/>
        </w:rPr>
        <w:t>s</w:t>
      </w:r>
      <w:r w:rsidRPr="00886B7C">
        <w:rPr>
          <w:sz w:val="22"/>
          <w:szCs w:val="22"/>
        </w:rPr>
        <w:t xml:space="preserve"> </w:t>
      </w:r>
      <w:proofErr w:type="spellStart"/>
      <w:r w:rsidRPr="00886B7C">
        <w:rPr>
          <w:sz w:val="22"/>
          <w:szCs w:val="22"/>
        </w:rPr>
        <w:t>msprime</w:t>
      </w:r>
      <w:proofErr w:type="spellEnd"/>
      <w:r w:rsidRPr="00886B7C">
        <w:rPr>
          <w:sz w:val="22"/>
          <w:szCs w:val="22"/>
        </w:rPr>
        <w:t xml:space="preserve"> (</w:t>
      </w:r>
      <w:proofErr w:type="spellStart"/>
      <w:r w:rsidR="00701475" w:rsidRPr="00886B7C">
        <w:rPr>
          <w:sz w:val="22"/>
          <w:szCs w:val="22"/>
        </w:rPr>
        <w:t>Baumdicker</w:t>
      </w:r>
      <w:proofErr w:type="spellEnd"/>
      <w:r w:rsidR="00701475" w:rsidRPr="00886B7C">
        <w:rPr>
          <w:sz w:val="22"/>
          <w:szCs w:val="22"/>
        </w:rPr>
        <w:t xml:space="preserve"> et al., 2022</w:t>
      </w:r>
      <w:r w:rsidRPr="00886B7C">
        <w:rPr>
          <w:sz w:val="22"/>
          <w:szCs w:val="22"/>
        </w:rPr>
        <w:t>)</w:t>
      </w:r>
      <w:r w:rsidR="00632DF9" w:rsidRPr="00886B7C">
        <w:rPr>
          <w:sz w:val="22"/>
          <w:szCs w:val="22"/>
        </w:rPr>
        <w:t>, NumPy (Harris et al., 2020)</w:t>
      </w:r>
      <w:r w:rsidRPr="00886B7C">
        <w:rPr>
          <w:sz w:val="22"/>
          <w:szCs w:val="22"/>
        </w:rPr>
        <w:t>. The model phylogeny has taxon C splitting from taxa A and B three million years ago and taxon A splitting from taxon B one million years ago. Each taxon has a generation time of one year. Model sequences of 10,000 base pairs were generated for each taxa using the HKY model</w:t>
      </w:r>
      <w:r w:rsidR="00AE5957" w:rsidRPr="00886B7C">
        <w:rPr>
          <w:sz w:val="22"/>
          <w:szCs w:val="22"/>
        </w:rPr>
        <w:t>, which was used to limit the number of assumptions about our simulated dataset. We selected</w:t>
      </w:r>
      <w:r w:rsidRPr="00886B7C">
        <w:rPr>
          <w:sz w:val="22"/>
          <w:szCs w:val="22"/>
        </w:rPr>
        <w:t xml:space="preserve"> a mutation rate of 1e-8 and a recombination rate of 4.8e-8, realistic for angiosperms (</w:t>
      </w:r>
      <w:r w:rsidR="00770D48" w:rsidRPr="00886B7C">
        <w:rPr>
          <w:sz w:val="22"/>
          <w:szCs w:val="22"/>
        </w:rPr>
        <w:t>Koch et al., 2000; Salomé et al., 2011</w:t>
      </w:r>
      <w:r w:rsidRPr="00886B7C">
        <w:rPr>
          <w:sz w:val="22"/>
          <w:szCs w:val="22"/>
        </w:rPr>
        <w:t xml:space="preserve">). </w:t>
      </w:r>
      <w:r w:rsidR="00701475" w:rsidRPr="00886B7C">
        <w:rPr>
          <w:sz w:val="22"/>
          <w:szCs w:val="22"/>
        </w:rPr>
        <w:t xml:space="preserve">Divergence times were calculated for each node. </w:t>
      </w:r>
      <w:r w:rsidRPr="00886B7C">
        <w:rPr>
          <w:sz w:val="22"/>
          <w:szCs w:val="22"/>
        </w:rPr>
        <w:t>All</w:t>
      </w:r>
      <w:r w:rsidR="00632DF9" w:rsidRPr="00886B7C">
        <w:rPr>
          <w:sz w:val="22"/>
          <w:szCs w:val="22"/>
        </w:rPr>
        <w:t xml:space="preserve"> invariant</w:t>
      </w:r>
      <w:r w:rsidRPr="00886B7C">
        <w:rPr>
          <w:sz w:val="22"/>
          <w:szCs w:val="22"/>
        </w:rPr>
        <w:t xml:space="preserve"> sites were filled in with random</w:t>
      </w:r>
      <w:r w:rsidR="00632DF9" w:rsidRPr="00886B7C">
        <w:rPr>
          <w:sz w:val="22"/>
          <w:szCs w:val="22"/>
        </w:rPr>
        <w:t>ly selected</w:t>
      </w:r>
      <w:r w:rsidRPr="00886B7C">
        <w:rPr>
          <w:sz w:val="22"/>
          <w:szCs w:val="22"/>
        </w:rPr>
        <w:t xml:space="preserve"> bases. </w:t>
      </w:r>
      <w:r w:rsidR="00E05287" w:rsidRPr="00886B7C">
        <w:rPr>
          <w:sz w:val="22"/>
          <w:szCs w:val="22"/>
        </w:rPr>
        <w:t>In one demographic model, gene flow between taxa was never allowed. In a second demographic model, gene flow occurred between ingroup taxon A and outgroup taxon C from 0.8 to 0.6 million years ago</w:t>
      </w:r>
      <w:r w:rsidR="00632DF9" w:rsidRPr="00886B7C">
        <w:rPr>
          <w:sz w:val="22"/>
          <w:szCs w:val="22"/>
        </w:rPr>
        <w:t xml:space="preserve">. Demographic models were visualized in python using the package </w:t>
      </w:r>
      <w:proofErr w:type="spellStart"/>
      <w:r w:rsidR="00632DF9" w:rsidRPr="00886B7C">
        <w:rPr>
          <w:sz w:val="22"/>
          <w:szCs w:val="22"/>
        </w:rPr>
        <w:t>DemesDraw</w:t>
      </w:r>
      <w:proofErr w:type="spellEnd"/>
      <w:r w:rsidR="00632DF9" w:rsidRPr="00886B7C">
        <w:rPr>
          <w:sz w:val="22"/>
          <w:szCs w:val="22"/>
        </w:rPr>
        <w:t>, developed for the package Demes (Gower et al., 2022).</w:t>
      </w:r>
    </w:p>
    <w:p w14:paraId="58EC0E96" w14:textId="77777777" w:rsidR="002278A1" w:rsidRPr="00886B7C" w:rsidRDefault="002278A1" w:rsidP="00886B7C">
      <w:pPr>
        <w:spacing w:line="360" w:lineRule="auto"/>
        <w:rPr>
          <w:b/>
          <w:bCs/>
          <w:sz w:val="22"/>
          <w:szCs w:val="22"/>
        </w:rPr>
      </w:pPr>
    </w:p>
    <w:p w14:paraId="72F87053" w14:textId="77777777" w:rsidR="002278A1" w:rsidRPr="00886B7C" w:rsidRDefault="002278A1" w:rsidP="00886B7C">
      <w:pPr>
        <w:spacing w:line="360" w:lineRule="auto"/>
        <w:rPr>
          <w:b/>
          <w:bCs/>
          <w:sz w:val="22"/>
          <w:szCs w:val="22"/>
        </w:rPr>
      </w:pPr>
      <w:r w:rsidRPr="00886B7C">
        <w:rPr>
          <w:b/>
          <w:bCs/>
          <w:sz w:val="22"/>
          <w:szCs w:val="22"/>
        </w:rPr>
        <w:t>Biogeographic dating:</w:t>
      </w:r>
    </w:p>
    <w:p w14:paraId="3FFA0634" w14:textId="77777777" w:rsidR="004E6897" w:rsidRPr="00886B7C" w:rsidRDefault="00034BB5" w:rsidP="00886B7C">
      <w:pPr>
        <w:spacing w:line="360" w:lineRule="auto"/>
        <w:rPr>
          <w:sz w:val="22"/>
          <w:szCs w:val="22"/>
        </w:rPr>
      </w:pPr>
      <w:r w:rsidRPr="00886B7C">
        <w:rPr>
          <w:sz w:val="22"/>
          <w:szCs w:val="22"/>
        </w:rPr>
        <w:t xml:space="preserve">Biogeographic dating analyses for the model data was performed in </w:t>
      </w:r>
      <w:proofErr w:type="spellStart"/>
      <w:r w:rsidRPr="00886B7C">
        <w:rPr>
          <w:sz w:val="22"/>
          <w:szCs w:val="22"/>
        </w:rPr>
        <w:t>RevBayes</w:t>
      </w:r>
      <w:proofErr w:type="spellEnd"/>
      <w:r w:rsidRPr="00886B7C">
        <w:rPr>
          <w:sz w:val="22"/>
          <w:szCs w:val="22"/>
        </w:rPr>
        <w:t xml:space="preserve"> (</w:t>
      </w:r>
      <w:proofErr w:type="spellStart"/>
      <w:r w:rsidRPr="00886B7C">
        <w:rPr>
          <w:sz w:val="22"/>
          <w:szCs w:val="22"/>
        </w:rPr>
        <w:t>Höhna</w:t>
      </w:r>
      <w:proofErr w:type="spellEnd"/>
      <w:r w:rsidRPr="00886B7C">
        <w:rPr>
          <w:sz w:val="22"/>
          <w:szCs w:val="22"/>
        </w:rPr>
        <w:t xml:space="preserve"> et al., 2016) according to the DEC model (Landis, 2017; also see Landis et al., 2018). </w:t>
      </w:r>
      <w:r w:rsidR="00D96241" w:rsidRPr="00886B7C">
        <w:rPr>
          <w:sz w:val="22"/>
          <w:szCs w:val="22"/>
        </w:rPr>
        <w:t xml:space="preserve">Scripts were adapted from the publicly available </w:t>
      </w:r>
      <w:proofErr w:type="spellStart"/>
      <w:r w:rsidR="00D96241" w:rsidRPr="00886B7C">
        <w:rPr>
          <w:sz w:val="22"/>
          <w:szCs w:val="22"/>
        </w:rPr>
        <w:t>RevBayes</w:t>
      </w:r>
      <w:proofErr w:type="spellEnd"/>
      <w:r w:rsidR="00D96241" w:rsidRPr="00886B7C">
        <w:rPr>
          <w:sz w:val="22"/>
          <w:szCs w:val="22"/>
        </w:rPr>
        <w:t xml:space="preserve"> analyses used in these studies. </w:t>
      </w:r>
      <w:r w:rsidR="007A1198" w:rsidRPr="00886B7C">
        <w:rPr>
          <w:sz w:val="22"/>
          <w:szCs w:val="22"/>
        </w:rPr>
        <w:t xml:space="preserve">In this model, molecular sequence data, a phylogeny, present ranges and distances, and geological epoch times are defined as inputs to jointly </w:t>
      </w:r>
      <w:r w:rsidR="007A1198" w:rsidRPr="00886B7C">
        <w:rPr>
          <w:sz w:val="22"/>
          <w:szCs w:val="22"/>
        </w:rPr>
        <w:lastRenderedPageBreak/>
        <w:t xml:space="preserve">estimate phylogeny and biogeography. Two Markov chains Monte Carlo were run with 10 million generations for each of the </w:t>
      </w:r>
      <w:r w:rsidR="004A0023" w:rsidRPr="00886B7C">
        <w:rPr>
          <w:sz w:val="22"/>
          <w:szCs w:val="22"/>
        </w:rPr>
        <w:t>ten</w:t>
      </w:r>
      <w:r w:rsidR="007A1198" w:rsidRPr="00886B7C">
        <w:rPr>
          <w:sz w:val="22"/>
          <w:szCs w:val="22"/>
        </w:rPr>
        <w:t xml:space="preserve"> model scenarios. </w:t>
      </w:r>
      <w:r w:rsidR="004E6897" w:rsidRPr="00886B7C">
        <w:rPr>
          <w:sz w:val="22"/>
          <w:szCs w:val="22"/>
        </w:rPr>
        <w:t>For all of the model scenarios, we manually set the root age of the tree to a uniform distribution between three and four million years ago</w:t>
      </w:r>
      <w:r w:rsidR="00B60A1C" w:rsidRPr="00886B7C">
        <w:rPr>
          <w:sz w:val="22"/>
          <w:szCs w:val="22"/>
        </w:rPr>
        <w:t xml:space="preserve"> and </w:t>
      </w:r>
      <w:r w:rsidR="004E6897" w:rsidRPr="00886B7C">
        <w:rPr>
          <w:sz w:val="22"/>
          <w:szCs w:val="22"/>
        </w:rPr>
        <w:t xml:space="preserve">set the extirpation rate </w:t>
      </w:r>
      <w:r w:rsidR="000149C0" w:rsidRPr="00886B7C">
        <w:rPr>
          <w:sz w:val="22"/>
          <w:szCs w:val="22"/>
        </w:rPr>
        <w:t xml:space="preserve">to </w:t>
      </w:r>
      <w:r w:rsidR="00B60A1C" w:rsidRPr="00886B7C">
        <w:rPr>
          <w:sz w:val="22"/>
          <w:szCs w:val="22"/>
        </w:rPr>
        <w:t>zero</w:t>
      </w:r>
      <w:r w:rsidR="004E6897" w:rsidRPr="00886B7C">
        <w:rPr>
          <w:sz w:val="22"/>
          <w:szCs w:val="22"/>
        </w:rPr>
        <w:t xml:space="preserve">. </w:t>
      </w:r>
      <w:r w:rsidR="004A0023" w:rsidRPr="00886B7C">
        <w:rPr>
          <w:sz w:val="22"/>
          <w:szCs w:val="22"/>
        </w:rPr>
        <w:t xml:space="preserve">Results were visualized using Tracer </w:t>
      </w:r>
      <w:r w:rsidR="003E2C1D" w:rsidRPr="00886B7C">
        <w:rPr>
          <w:sz w:val="22"/>
          <w:szCs w:val="22"/>
        </w:rPr>
        <w:t xml:space="preserve">v1.7.2 </w:t>
      </w:r>
      <w:r w:rsidR="004A0023" w:rsidRPr="00886B7C">
        <w:rPr>
          <w:sz w:val="22"/>
          <w:szCs w:val="22"/>
        </w:rPr>
        <w:t>(</w:t>
      </w:r>
      <w:proofErr w:type="spellStart"/>
      <w:r w:rsidR="003E2C1D" w:rsidRPr="00886B7C">
        <w:rPr>
          <w:sz w:val="22"/>
          <w:szCs w:val="22"/>
        </w:rPr>
        <w:t>Rembaut</w:t>
      </w:r>
      <w:proofErr w:type="spellEnd"/>
      <w:r w:rsidR="003E2C1D" w:rsidRPr="00886B7C">
        <w:rPr>
          <w:sz w:val="22"/>
          <w:szCs w:val="22"/>
        </w:rPr>
        <w:t xml:space="preserve"> et al., 2018</w:t>
      </w:r>
      <w:r w:rsidR="004A0023" w:rsidRPr="00886B7C">
        <w:rPr>
          <w:sz w:val="22"/>
          <w:szCs w:val="22"/>
        </w:rPr>
        <w:t>)</w:t>
      </w:r>
      <w:r w:rsidR="00316EFE" w:rsidRPr="00886B7C">
        <w:rPr>
          <w:sz w:val="22"/>
          <w:szCs w:val="22"/>
        </w:rPr>
        <w:t xml:space="preserve"> and convergence assessment was examined with the R package Convenience (</w:t>
      </w:r>
      <w:proofErr w:type="spellStart"/>
      <w:r w:rsidR="00316EFE" w:rsidRPr="00886B7C">
        <w:rPr>
          <w:sz w:val="22"/>
          <w:szCs w:val="22"/>
        </w:rPr>
        <w:t>Fabreti</w:t>
      </w:r>
      <w:proofErr w:type="spellEnd"/>
      <w:r w:rsidR="00316EFE" w:rsidRPr="00886B7C">
        <w:rPr>
          <w:sz w:val="22"/>
          <w:szCs w:val="22"/>
        </w:rPr>
        <w:t xml:space="preserve"> &amp; </w:t>
      </w:r>
      <w:proofErr w:type="spellStart"/>
      <w:r w:rsidR="00316EFE" w:rsidRPr="00886B7C">
        <w:rPr>
          <w:sz w:val="22"/>
          <w:szCs w:val="22"/>
        </w:rPr>
        <w:t>Höhna</w:t>
      </w:r>
      <w:proofErr w:type="spellEnd"/>
      <w:r w:rsidR="00316EFE" w:rsidRPr="00886B7C">
        <w:rPr>
          <w:sz w:val="22"/>
          <w:szCs w:val="22"/>
        </w:rPr>
        <w:t>, 2022) to confirm adequate run times</w:t>
      </w:r>
      <w:r w:rsidR="004A0023" w:rsidRPr="00886B7C">
        <w:rPr>
          <w:sz w:val="22"/>
          <w:szCs w:val="22"/>
        </w:rPr>
        <w:t xml:space="preserve">. </w:t>
      </w:r>
      <w:r w:rsidR="0078589F" w:rsidRPr="00886B7C">
        <w:rPr>
          <w:sz w:val="22"/>
          <w:szCs w:val="22"/>
        </w:rPr>
        <w:t xml:space="preserve">The two generated </w:t>
      </w:r>
      <w:r w:rsidR="002C375B" w:rsidRPr="00886B7C">
        <w:rPr>
          <w:sz w:val="22"/>
          <w:szCs w:val="22"/>
        </w:rPr>
        <w:t>log files for each model</w:t>
      </w:r>
      <w:r w:rsidR="0078589F" w:rsidRPr="00886B7C">
        <w:rPr>
          <w:sz w:val="22"/>
          <w:szCs w:val="22"/>
        </w:rPr>
        <w:t xml:space="preserve"> were combined</w:t>
      </w:r>
      <w:r w:rsidR="002C375B" w:rsidRPr="00886B7C">
        <w:rPr>
          <w:sz w:val="22"/>
          <w:szCs w:val="22"/>
        </w:rPr>
        <w:t xml:space="preserve"> using </w:t>
      </w:r>
      <w:proofErr w:type="spellStart"/>
      <w:r w:rsidR="002C375B" w:rsidRPr="00886B7C">
        <w:rPr>
          <w:color w:val="000000"/>
          <w:sz w:val="22"/>
          <w:szCs w:val="22"/>
        </w:rPr>
        <w:t>LogCombiner</w:t>
      </w:r>
      <w:proofErr w:type="spellEnd"/>
      <w:r w:rsidR="002C375B" w:rsidRPr="00886B7C">
        <w:rPr>
          <w:color w:val="000000"/>
          <w:sz w:val="22"/>
          <w:szCs w:val="22"/>
        </w:rPr>
        <w:t xml:space="preserve"> in BEAST </w:t>
      </w:r>
      <w:r w:rsidR="007E6329" w:rsidRPr="00886B7C">
        <w:rPr>
          <w:color w:val="000000"/>
          <w:sz w:val="22"/>
          <w:szCs w:val="22"/>
        </w:rPr>
        <w:t>X v10.X (</w:t>
      </w:r>
      <w:r w:rsidR="001E6751" w:rsidRPr="00886B7C">
        <w:rPr>
          <w:sz w:val="22"/>
          <w:szCs w:val="22"/>
        </w:rPr>
        <w:t>Suchard et al., 2018)</w:t>
      </w:r>
      <w:r w:rsidR="0078589F" w:rsidRPr="00886B7C">
        <w:rPr>
          <w:sz w:val="22"/>
          <w:szCs w:val="22"/>
        </w:rPr>
        <w:t>.</w:t>
      </w:r>
      <w:r w:rsidR="004A0023" w:rsidRPr="00886B7C">
        <w:rPr>
          <w:sz w:val="22"/>
          <w:szCs w:val="22"/>
        </w:rPr>
        <w:t xml:space="preserve"> The final generated trees were visualized in </w:t>
      </w:r>
      <w:proofErr w:type="spellStart"/>
      <w:r w:rsidR="004A0023" w:rsidRPr="00886B7C">
        <w:rPr>
          <w:sz w:val="22"/>
          <w:szCs w:val="22"/>
        </w:rPr>
        <w:t>FigTree</w:t>
      </w:r>
      <w:proofErr w:type="spellEnd"/>
      <w:r w:rsidR="004A0023" w:rsidRPr="00886B7C">
        <w:rPr>
          <w:sz w:val="22"/>
          <w:szCs w:val="22"/>
        </w:rPr>
        <w:t xml:space="preserve"> v1.4.4.</w:t>
      </w:r>
    </w:p>
    <w:p w14:paraId="75CCE203" w14:textId="77777777" w:rsidR="004E6897" w:rsidRPr="00886B7C" w:rsidRDefault="004E6897" w:rsidP="00886B7C">
      <w:pPr>
        <w:spacing w:line="360" w:lineRule="auto"/>
        <w:rPr>
          <w:sz w:val="22"/>
          <w:szCs w:val="22"/>
        </w:rPr>
      </w:pPr>
    </w:p>
    <w:p w14:paraId="50078739" w14:textId="77777777" w:rsidR="002278A1" w:rsidRPr="00886B7C" w:rsidRDefault="007A1198" w:rsidP="00886B7C">
      <w:pPr>
        <w:spacing w:line="360" w:lineRule="auto"/>
        <w:rPr>
          <w:sz w:val="22"/>
          <w:szCs w:val="22"/>
        </w:rPr>
      </w:pPr>
      <w:r w:rsidRPr="00886B7C">
        <w:rPr>
          <w:sz w:val="22"/>
          <w:szCs w:val="22"/>
        </w:rPr>
        <w:t>First, we ran five biogeographic knowledge-level scenarios</w:t>
      </w:r>
      <w:r w:rsidR="0094003E" w:rsidRPr="00886B7C">
        <w:rPr>
          <w:sz w:val="22"/>
          <w:szCs w:val="22"/>
        </w:rPr>
        <w:t xml:space="preserve"> (Figure </w:t>
      </w:r>
      <w:r w:rsidR="001C56B8" w:rsidRPr="00886B7C">
        <w:rPr>
          <w:sz w:val="22"/>
          <w:szCs w:val="22"/>
        </w:rPr>
        <w:t>2</w:t>
      </w:r>
      <w:r w:rsidR="0094003E" w:rsidRPr="00886B7C">
        <w:rPr>
          <w:sz w:val="22"/>
          <w:szCs w:val="22"/>
        </w:rPr>
        <w:t>)</w:t>
      </w:r>
      <w:r w:rsidRPr="00886B7C">
        <w:rPr>
          <w:sz w:val="22"/>
          <w:szCs w:val="22"/>
        </w:rPr>
        <w:t>; uniform-informed, normal-informed, normal-uninformed, normal-incorrect, and unknown.</w:t>
      </w:r>
      <w:r w:rsidR="001948BD" w:rsidRPr="00886B7C">
        <w:rPr>
          <w:sz w:val="22"/>
          <w:szCs w:val="22"/>
        </w:rPr>
        <w:t xml:space="preserve"> W</w:t>
      </w:r>
      <w:r w:rsidR="00452E24" w:rsidRPr="00886B7C">
        <w:rPr>
          <w:sz w:val="22"/>
          <w:szCs w:val="22"/>
        </w:rPr>
        <w:t>e</w:t>
      </w:r>
      <w:r w:rsidR="001948BD" w:rsidRPr="00886B7C">
        <w:rPr>
          <w:sz w:val="22"/>
          <w:szCs w:val="22"/>
        </w:rPr>
        <w:t xml:space="preserve"> then</w:t>
      </w:r>
      <w:r w:rsidR="00452E24" w:rsidRPr="00886B7C">
        <w:rPr>
          <w:sz w:val="22"/>
          <w:szCs w:val="22"/>
        </w:rPr>
        <w:t xml:space="preserve"> ran the </w:t>
      </w:r>
      <w:r w:rsidR="001948BD" w:rsidRPr="00886B7C">
        <w:rPr>
          <w:sz w:val="22"/>
          <w:szCs w:val="22"/>
        </w:rPr>
        <w:t xml:space="preserve">same </w:t>
      </w:r>
      <w:r w:rsidR="00452E24" w:rsidRPr="00886B7C">
        <w:rPr>
          <w:sz w:val="22"/>
          <w:szCs w:val="22"/>
        </w:rPr>
        <w:t xml:space="preserve">five biogeographic knowledge-level scenarios with </w:t>
      </w:r>
      <w:r w:rsidR="00E05287" w:rsidRPr="00886B7C">
        <w:rPr>
          <w:sz w:val="22"/>
          <w:szCs w:val="22"/>
        </w:rPr>
        <w:t xml:space="preserve">the second </w:t>
      </w:r>
      <w:r w:rsidR="00452E24" w:rsidRPr="00886B7C">
        <w:rPr>
          <w:sz w:val="22"/>
          <w:szCs w:val="22"/>
        </w:rPr>
        <w:t>demographic model that allowed for a period of gene flow</w:t>
      </w:r>
      <w:r w:rsidR="00B23A84" w:rsidRPr="00886B7C">
        <w:rPr>
          <w:sz w:val="22"/>
          <w:szCs w:val="22"/>
        </w:rPr>
        <w:t>.</w:t>
      </w:r>
      <w:r w:rsidR="001948BD" w:rsidRPr="00886B7C">
        <w:rPr>
          <w:sz w:val="22"/>
          <w:szCs w:val="22"/>
        </w:rPr>
        <w:t xml:space="preserve"> After finding comparable results with dispersal models of dispersal = 0.05 and 0.10, we report simulations with the higher dispersal model to best reflect biological reality.</w:t>
      </w:r>
    </w:p>
    <w:p w14:paraId="4BDB728B" w14:textId="77777777" w:rsidR="0094003E" w:rsidRPr="00886B7C" w:rsidRDefault="0094003E" w:rsidP="00886B7C">
      <w:pPr>
        <w:spacing w:line="360" w:lineRule="auto"/>
        <w:jc w:val="center"/>
        <w:rPr>
          <w:sz w:val="22"/>
          <w:szCs w:val="22"/>
        </w:rPr>
      </w:pPr>
    </w:p>
    <w:p w14:paraId="3CC61A5C" w14:textId="77777777" w:rsidR="004E6897" w:rsidRPr="00886B7C" w:rsidRDefault="0094003E" w:rsidP="00886B7C">
      <w:pPr>
        <w:spacing w:line="360" w:lineRule="auto"/>
        <w:jc w:val="center"/>
        <w:rPr>
          <w:sz w:val="22"/>
          <w:szCs w:val="22"/>
        </w:rPr>
      </w:pPr>
      <w:r w:rsidRPr="00886B7C">
        <w:rPr>
          <w:b/>
          <w:bCs/>
          <w:sz w:val="22"/>
          <w:szCs w:val="22"/>
        </w:rPr>
        <w:t xml:space="preserve">Figure </w:t>
      </w:r>
      <w:r w:rsidR="001C56B8" w:rsidRPr="00886B7C">
        <w:rPr>
          <w:b/>
          <w:bCs/>
          <w:sz w:val="22"/>
          <w:szCs w:val="22"/>
        </w:rPr>
        <w:t>2</w:t>
      </w:r>
      <w:r w:rsidRPr="00886B7C">
        <w:rPr>
          <w:b/>
          <w:bCs/>
          <w:sz w:val="22"/>
          <w:szCs w:val="22"/>
        </w:rPr>
        <w:t xml:space="preserve">: </w:t>
      </w:r>
      <w:r w:rsidRPr="00886B7C">
        <w:rPr>
          <w:sz w:val="22"/>
          <w:szCs w:val="22"/>
        </w:rPr>
        <w:t>Five biogeographic knowledge-level scenarios</w:t>
      </w:r>
      <w:r w:rsidR="00D74EBC" w:rsidRPr="00886B7C">
        <w:rPr>
          <w:sz w:val="22"/>
          <w:szCs w:val="22"/>
        </w:rPr>
        <w:t>. Red dotted line represents the true time for the node where taxon C splits from taxa A and B, and green dotted line represents the</w:t>
      </w:r>
      <w:r w:rsidR="001026F0" w:rsidRPr="00886B7C">
        <w:rPr>
          <w:sz w:val="22"/>
          <w:szCs w:val="22"/>
        </w:rPr>
        <w:t xml:space="preserve"> </w:t>
      </w:r>
      <w:r w:rsidR="00D74EBC" w:rsidRPr="00886B7C">
        <w:rPr>
          <w:sz w:val="22"/>
          <w:szCs w:val="22"/>
        </w:rPr>
        <w:t>true time for the node where taxon A splits from taxon B.</w:t>
      </w:r>
    </w:p>
    <w:p w14:paraId="16EE096D" w14:textId="77777777" w:rsidR="00EF3DBA" w:rsidRPr="00886B7C" w:rsidRDefault="00EF3DBA" w:rsidP="00886B7C">
      <w:pPr>
        <w:spacing w:line="360" w:lineRule="auto"/>
        <w:rPr>
          <w:b/>
          <w:bCs/>
          <w:sz w:val="22"/>
          <w:szCs w:val="22"/>
        </w:rPr>
      </w:pPr>
    </w:p>
    <w:p w14:paraId="44EC5172" w14:textId="77777777" w:rsidR="0079614F" w:rsidRPr="00886B7C" w:rsidRDefault="00EF3DBA" w:rsidP="00886B7C">
      <w:pPr>
        <w:spacing w:line="360" w:lineRule="auto"/>
        <w:rPr>
          <w:b/>
          <w:bCs/>
          <w:sz w:val="22"/>
          <w:szCs w:val="22"/>
        </w:rPr>
      </w:pPr>
      <w:r w:rsidRPr="00886B7C">
        <w:rPr>
          <w:b/>
          <w:bCs/>
          <w:sz w:val="22"/>
          <w:szCs w:val="22"/>
        </w:rPr>
        <w:t>Results:</w:t>
      </w:r>
    </w:p>
    <w:p w14:paraId="38FD5AC1" w14:textId="77777777" w:rsidR="0079614F" w:rsidRPr="00886B7C" w:rsidRDefault="0079614F" w:rsidP="00886B7C">
      <w:pPr>
        <w:spacing w:line="360" w:lineRule="auto"/>
        <w:jc w:val="center"/>
        <w:rPr>
          <w:sz w:val="22"/>
          <w:szCs w:val="22"/>
        </w:rPr>
      </w:pPr>
    </w:p>
    <w:p w14:paraId="6A8F7DDF" w14:textId="77777777" w:rsidR="00233F32" w:rsidRPr="00886B7C" w:rsidRDefault="00233F32" w:rsidP="00886B7C">
      <w:pPr>
        <w:spacing w:line="360" w:lineRule="auto"/>
        <w:jc w:val="center"/>
        <w:rPr>
          <w:sz w:val="22"/>
          <w:szCs w:val="22"/>
        </w:rPr>
      </w:pPr>
      <w:r w:rsidRPr="00886B7C">
        <w:rPr>
          <w:b/>
          <w:bCs/>
          <w:sz w:val="22"/>
          <w:szCs w:val="22"/>
        </w:rPr>
        <w:t xml:space="preserve">Figure X: </w:t>
      </w:r>
      <w:r w:rsidRPr="00886B7C">
        <w:rPr>
          <w:sz w:val="22"/>
          <w:szCs w:val="22"/>
        </w:rPr>
        <w:t>Consensus trees for 5 models without demographic history of gene flow</w:t>
      </w:r>
    </w:p>
    <w:p w14:paraId="1DDCB319" w14:textId="77777777" w:rsidR="001026F0" w:rsidRPr="00886B7C" w:rsidRDefault="001026F0" w:rsidP="00886B7C">
      <w:pPr>
        <w:spacing w:line="360" w:lineRule="auto"/>
        <w:jc w:val="center"/>
        <w:rPr>
          <w:sz w:val="22"/>
          <w:szCs w:val="22"/>
        </w:rPr>
      </w:pPr>
    </w:p>
    <w:p w14:paraId="36CF8CD1" w14:textId="77777777" w:rsidR="00233F32" w:rsidRPr="00886B7C" w:rsidRDefault="00233F32" w:rsidP="00886B7C">
      <w:pPr>
        <w:spacing w:line="360" w:lineRule="auto"/>
        <w:jc w:val="center"/>
        <w:rPr>
          <w:sz w:val="22"/>
          <w:szCs w:val="22"/>
        </w:rPr>
      </w:pPr>
      <w:r w:rsidRPr="00886B7C">
        <w:rPr>
          <w:b/>
          <w:bCs/>
          <w:sz w:val="22"/>
          <w:szCs w:val="22"/>
        </w:rPr>
        <w:t xml:space="preserve">Figure X: </w:t>
      </w:r>
      <w:r w:rsidRPr="00886B7C">
        <w:rPr>
          <w:sz w:val="22"/>
          <w:szCs w:val="22"/>
        </w:rPr>
        <w:t>Consensus trees for 5 models with demographic history of gene flow</w:t>
      </w:r>
    </w:p>
    <w:p w14:paraId="5359F362" w14:textId="77777777" w:rsidR="00EF3DBA" w:rsidRPr="00886B7C" w:rsidRDefault="00EF3DBA" w:rsidP="00886B7C">
      <w:pPr>
        <w:spacing w:line="360" w:lineRule="auto"/>
        <w:rPr>
          <w:b/>
          <w:bCs/>
          <w:sz w:val="22"/>
          <w:szCs w:val="22"/>
        </w:rPr>
      </w:pPr>
    </w:p>
    <w:p w14:paraId="3CDADF0D" w14:textId="77777777" w:rsidR="00EF3DBA" w:rsidRPr="00886B7C" w:rsidRDefault="00EF3DBA" w:rsidP="00886B7C">
      <w:pPr>
        <w:spacing w:line="360" w:lineRule="auto"/>
        <w:rPr>
          <w:b/>
          <w:bCs/>
          <w:sz w:val="22"/>
          <w:szCs w:val="22"/>
        </w:rPr>
      </w:pPr>
      <w:r w:rsidRPr="00886B7C">
        <w:rPr>
          <w:b/>
          <w:bCs/>
          <w:sz w:val="22"/>
          <w:szCs w:val="22"/>
        </w:rPr>
        <w:t>Discussion:</w:t>
      </w:r>
    </w:p>
    <w:p w14:paraId="33ABD781" w14:textId="77777777" w:rsidR="0079614F" w:rsidRPr="00886B7C" w:rsidRDefault="00B768A9" w:rsidP="00886B7C">
      <w:pPr>
        <w:spacing w:line="360" w:lineRule="auto"/>
        <w:rPr>
          <w:sz w:val="22"/>
          <w:szCs w:val="22"/>
        </w:rPr>
      </w:pPr>
      <w:r w:rsidRPr="00886B7C">
        <w:rPr>
          <w:sz w:val="22"/>
          <w:szCs w:val="22"/>
        </w:rPr>
        <w:t>Perfect</w:t>
      </w:r>
      <w:r w:rsidR="0079614F" w:rsidRPr="00886B7C">
        <w:rPr>
          <w:sz w:val="22"/>
          <w:szCs w:val="22"/>
        </w:rPr>
        <w:t xml:space="preserve"> simulated data successfully being able to predict the timing of the emergence of biogeographic barriers</w:t>
      </w:r>
      <w:r w:rsidRPr="00886B7C">
        <w:rPr>
          <w:sz w:val="22"/>
          <w:szCs w:val="22"/>
        </w:rPr>
        <w:t xml:space="preserve"> without prior information suggests exciting opportunities to test new biogeographic historical hypotheses.</w:t>
      </w:r>
      <w:r w:rsidR="007A4C02" w:rsidRPr="00886B7C">
        <w:rPr>
          <w:sz w:val="22"/>
          <w:szCs w:val="22"/>
        </w:rPr>
        <w:t xml:space="preserve"> </w:t>
      </w:r>
      <w:r w:rsidR="00832D1B" w:rsidRPr="00886B7C">
        <w:rPr>
          <w:sz w:val="22"/>
          <w:szCs w:val="22"/>
        </w:rPr>
        <w:t xml:space="preserve">In fact, models with a flat, unknown prior performed just as well as models with a uniform or normal geological prior centered around correct times. </w:t>
      </w:r>
      <w:r w:rsidR="0049068F" w:rsidRPr="00886B7C">
        <w:rPr>
          <w:sz w:val="22"/>
          <w:szCs w:val="22"/>
        </w:rPr>
        <w:t xml:space="preserve">Furthering </w:t>
      </w:r>
      <w:r w:rsidR="008236F3" w:rsidRPr="00886B7C">
        <w:rPr>
          <w:sz w:val="22"/>
          <w:szCs w:val="22"/>
        </w:rPr>
        <w:t>genomic data acquisition and empirical analyses</w:t>
      </w:r>
      <w:r w:rsidR="0049068F" w:rsidRPr="00886B7C">
        <w:rPr>
          <w:sz w:val="22"/>
          <w:szCs w:val="22"/>
        </w:rPr>
        <w:t xml:space="preserve"> in model</w:t>
      </w:r>
      <w:r w:rsidR="0048119C" w:rsidRPr="00886B7C">
        <w:rPr>
          <w:sz w:val="22"/>
          <w:szCs w:val="22"/>
        </w:rPr>
        <w:t xml:space="preserve"> </w:t>
      </w:r>
      <w:r w:rsidR="007A4C02" w:rsidRPr="00886B7C">
        <w:rPr>
          <w:sz w:val="22"/>
          <w:szCs w:val="22"/>
        </w:rPr>
        <w:t>systems</w:t>
      </w:r>
      <w:r w:rsidR="0048119C" w:rsidRPr="00886B7C">
        <w:rPr>
          <w:sz w:val="22"/>
          <w:szCs w:val="22"/>
        </w:rPr>
        <w:t xml:space="preserve"> such as montane or riparian species</w:t>
      </w:r>
      <w:r w:rsidR="008236F3" w:rsidRPr="00886B7C">
        <w:rPr>
          <w:sz w:val="22"/>
          <w:szCs w:val="22"/>
        </w:rPr>
        <w:t xml:space="preserve"> has been proposed</w:t>
      </w:r>
      <w:r w:rsidR="0048119C" w:rsidRPr="00886B7C">
        <w:rPr>
          <w:sz w:val="22"/>
          <w:szCs w:val="22"/>
        </w:rPr>
        <w:t xml:space="preserve"> (Bedoya, 2024) as </w:t>
      </w:r>
      <w:r w:rsidR="008236F3" w:rsidRPr="00886B7C">
        <w:rPr>
          <w:sz w:val="22"/>
          <w:szCs w:val="22"/>
        </w:rPr>
        <w:t>the</w:t>
      </w:r>
      <w:r w:rsidR="0048119C" w:rsidRPr="00886B7C">
        <w:rPr>
          <w:sz w:val="22"/>
          <w:szCs w:val="22"/>
        </w:rPr>
        <w:t xml:space="preserve"> next steps in furthering the empirical testing of reciprocal geographic-biological dating methods.</w:t>
      </w:r>
      <w:r w:rsidR="00832D1B" w:rsidRPr="00886B7C">
        <w:rPr>
          <w:sz w:val="22"/>
          <w:szCs w:val="22"/>
        </w:rPr>
        <w:t xml:space="preserve"> </w:t>
      </w:r>
    </w:p>
    <w:p w14:paraId="62774B46" w14:textId="77777777" w:rsidR="00832D1B" w:rsidRPr="00886B7C" w:rsidRDefault="00832D1B" w:rsidP="00886B7C">
      <w:pPr>
        <w:spacing w:line="360" w:lineRule="auto"/>
        <w:rPr>
          <w:sz w:val="22"/>
          <w:szCs w:val="22"/>
        </w:rPr>
      </w:pPr>
    </w:p>
    <w:p w14:paraId="158FAD59" w14:textId="77777777" w:rsidR="00832D1B" w:rsidRPr="00886B7C" w:rsidRDefault="00832D1B" w:rsidP="00886B7C">
      <w:pPr>
        <w:spacing w:line="360" w:lineRule="auto"/>
        <w:rPr>
          <w:sz w:val="22"/>
          <w:szCs w:val="22"/>
        </w:rPr>
      </w:pPr>
      <w:r w:rsidRPr="00886B7C">
        <w:rPr>
          <w:sz w:val="22"/>
          <w:szCs w:val="22"/>
        </w:rPr>
        <w:lastRenderedPageBreak/>
        <w:t xml:space="preserve">With the introduction of incorrect prior information, however, models performed significantly worse in predicting geological history. This supports the idea that researchers should be conservative and cautious when creating strict priors in </w:t>
      </w:r>
      <w:proofErr w:type="spellStart"/>
      <w:r w:rsidRPr="00886B7C">
        <w:rPr>
          <w:sz w:val="22"/>
          <w:szCs w:val="22"/>
        </w:rPr>
        <w:t>geogenomic</w:t>
      </w:r>
      <w:proofErr w:type="spellEnd"/>
      <w:r w:rsidRPr="00886B7C">
        <w:rPr>
          <w:sz w:val="22"/>
          <w:szCs w:val="22"/>
        </w:rPr>
        <w:t xml:space="preserve"> methods.</w:t>
      </w:r>
    </w:p>
    <w:p w14:paraId="43F9FEE8" w14:textId="77777777" w:rsidR="00586D67" w:rsidRPr="00886B7C" w:rsidRDefault="00586D67" w:rsidP="00886B7C">
      <w:pPr>
        <w:spacing w:line="360" w:lineRule="auto"/>
        <w:rPr>
          <w:sz w:val="22"/>
          <w:szCs w:val="22"/>
        </w:rPr>
      </w:pPr>
    </w:p>
    <w:p w14:paraId="68B4E05F" w14:textId="77777777" w:rsidR="00586D67" w:rsidRPr="00886B7C" w:rsidRDefault="00586D67" w:rsidP="00886B7C">
      <w:pPr>
        <w:spacing w:line="360" w:lineRule="auto"/>
        <w:rPr>
          <w:sz w:val="22"/>
          <w:szCs w:val="22"/>
        </w:rPr>
      </w:pPr>
      <w:r w:rsidRPr="00886B7C">
        <w:rPr>
          <w:sz w:val="22"/>
          <w:szCs w:val="22"/>
        </w:rPr>
        <w:t>Talk about gene flow results. Gene flow is not a problem to be solved, but another tool to understand past geographic connections! But also, talk about limitations.</w:t>
      </w:r>
    </w:p>
    <w:p w14:paraId="7E109165" w14:textId="77777777" w:rsidR="00EF3DBA" w:rsidRPr="00886B7C" w:rsidRDefault="00EF3DBA" w:rsidP="00886B7C">
      <w:pPr>
        <w:spacing w:line="360" w:lineRule="auto"/>
        <w:rPr>
          <w:b/>
          <w:bCs/>
          <w:sz w:val="22"/>
          <w:szCs w:val="22"/>
        </w:rPr>
      </w:pPr>
    </w:p>
    <w:p w14:paraId="5CA6DDAE" w14:textId="77777777" w:rsidR="00EF3DBA" w:rsidRPr="00886B7C" w:rsidRDefault="00EF3DBA" w:rsidP="00886B7C">
      <w:pPr>
        <w:spacing w:line="360" w:lineRule="auto"/>
        <w:rPr>
          <w:b/>
          <w:bCs/>
          <w:sz w:val="22"/>
          <w:szCs w:val="22"/>
        </w:rPr>
      </w:pPr>
      <w:r w:rsidRPr="00886B7C">
        <w:rPr>
          <w:b/>
          <w:bCs/>
          <w:sz w:val="22"/>
          <w:szCs w:val="22"/>
        </w:rPr>
        <w:t>References:</w:t>
      </w:r>
    </w:p>
    <w:p w14:paraId="08933E25" w14:textId="77777777" w:rsidR="00A12E11" w:rsidRPr="00886B7C" w:rsidRDefault="00701475" w:rsidP="00886B7C">
      <w:pPr>
        <w:spacing w:line="360" w:lineRule="auto"/>
        <w:rPr>
          <w:rStyle w:val="Hyperlink"/>
          <w:sz w:val="22"/>
          <w:szCs w:val="22"/>
        </w:rPr>
      </w:pPr>
      <w:proofErr w:type="spellStart"/>
      <w:r w:rsidRPr="00886B7C">
        <w:rPr>
          <w:sz w:val="22"/>
          <w:szCs w:val="22"/>
        </w:rPr>
        <w:t>Baumdicker</w:t>
      </w:r>
      <w:proofErr w:type="spellEnd"/>
      <w:r w:rsidRPr="00886B7C">
        <w:rPr>
          <w:sz w:val="22"/>
          <w:szCs w:val="22"/>
        </w:rPr>
        <w:t xml:space="preserve">, F., Bisschop, G., Goldstein, D., Gower, G., Ragsdale, A. P., </w:t>
      </w:r>
      <w:proofErr w:type="spellStart"/>
      <w:r w:rsidRPr="00886B7C">
        <w:rPr>
          <w:sz w:val="22"/>
          <w:szCs w:val="22"/>
        </w:rPr>
        <w:t>Tsambos</w:t>
      </w:r>
      <w:proofErr w:type="spellEnd"/>
      <w:r w:rsidRPr="00886B7C">
        <w:rPr>
          <w:sz w:val="22"/>
          <w:szCs w:val="22"/>
        </w:rPr>
        <w:t xml:space="preserve">, G., Zhu, S., </w:t>
      </w:r>
      <w:r w:rsidRPr="00886B7C">
        <w:rPr>
          <w:sz w:val="22"/>
          <w:szCs w:val="22"/>
        </w:rPr>
        <w:tab/>
        <w:t xml:space="preserve">Eldon, B., Ellerman, E. C., Galloway, J. G., Gladstein, A. L., Gorjanc, G., Guo, B., </w:t>
      </w:r>
      <w:r w:rsidRPr="00886B7C">
        <w:rPr>
          <w:sz w:val="22"/>
          <w:szCs w:val="22"/>
        </w:rPr>
        <w:tab/>
        <w:t xml:space="preserve">Jeffery, B., </w:t>
      </w:r>
      <w:proofErr w:type="spellStart"/>
      <w:r w:rsidRPr="00886B7C">
        <w:rPr>
          <w:sz w:val="22"/>
          <w:szCs w:val="22"/>
        </w:rPr>
        <w:t>Kretzschumar</w:t>
      </w:r>
      <w:proofErr w:type="spellEnd"/>
      <w:r w:rsidRPr="00886B7C">
        <w:rPr>
          <w:sz w:val="22"/>
          <w:szCs w:val="22"/>
        </w:rPr>
        <w:t xml:space="preserve">, W. W., Lohse, K., </w:t>
      </w:r>
      <w:proofErr w:type="spellStart"/>
      <w:r w:rsidRPr="00886B7C">
        <w:rPr>
          <w:sz w:val="22"/>
          <w:szCs w:val="22"/>
        </w:rPr>
        <w:t>Matschiner</w:t>
      </w:r>
      <w:proofErr w:type="spellEnd"/>
      <w:r w:rsidRPr="00886B7C">
        <w:rPr>
          <w:sz w:val="22"/>
          <w:szCs w:val="22"/>
        </w:rPr>
        <w:t xml:space="preserve">, M., Nelson, D., Pope, N. S., </w:t>
      </w:r>
      <w:r w:rsidRPr="00886B7C">
        <w:rPr>
          <w:sz w:val="22"/>
          <w:szCs w:val="22"/>
        </w:rPr>
        <w:tab/>
        <w:t xml:space="preserve">Quinto-Cortés, C. D., … Kelleher, J. (2022). Efficient ancestry and mutation simulation </w:t>
      </w:r>
      <w:r w:rsidRPr="00886B7C">
        <w:rPr>
          <w:sz w:val="22"/>
          <w:szCs w:val="22"/>
        </w:rPr>
        <w:tab/>
        <w:t xml:space="preserve">with </w:t>
      </w:r>
      <w:proofErr w:type="spellStart"/>
      <w:r w:rsidRPr="00886B7C">
        <w:rPr>
          <w:sz w:val="22"/>
          <w:szCs w:val="22"/>
        </w:rPr>
        <w:t>msprime</w:t>
      </w:r>
      <w:proofErr w:type="spellEnd"/>
      <w:r w:rsidRPr="00886B7C">
        <w:rPr>
          <w:sz w:val="22"/>
          <w:szCs w:val="22"/>
        </w:rPr>
        <w:t xml:space="preserve"> 1.0. </w:t>
      </w:r>
      <w:r w:rsidRPr="00886B7C">
        <w:rPr>
          <w:i/>
          <w:iCs/>
          <w:sz w:val="22"/>
          <w:szCs w:val="22"/>
        </w:rPr>
        <w:t>Genetics</w:t>
      </w:r>
      <w:r w:rsidRPr="00886B7C">
        <w:rPr>
          <w:sz w:val="22"/>
          <w:szCs w:val="22"/>
        </w:rPr>
        <w:t xml:space="preserve">, </w:t>
      </w:r>
      <w:r w:rsidRPr="00886B7C">
        <w:rPr>
          <w:i/>
          <w:iCs/>
          <w:sz w:val="22"/>
          <w:szCs w:val="22"/>
        </w:rPr>
        <w:t>220</w:t>
      </w:r>
      <w:r w:rsidRPr="00886B7C">
        <w:rPr>
          <w:sz w:val="22"/>
          <w:szCs w:val="22"/>
        </w:rPr>
        <w:t xml:space="preserve">(3), iyab229. </w:t>
      </w:r>
      <w:hyperlink r:id="rId5" w:history="1">
        <w:r w:rsidR="00034BB5" w:rsidRPr="00886B7C">
          <w:rPr>
            <w:rStyle w:val="Hyperlink"/>
            <w:sz w:val="22"/>
            <w:szCs w:val="22"/>
          </w:rPr>
          <w:t>https://doi.org/10.1093/genetics/iyab229</w:t>
        </w:r>
      </w:hyperlink>
    </w:p>
    <w:p w14:paraId="13C3D46E" w14:textId="77777777" w:rsidR="00A12E11" w:rsidRPr="00886B7C" w:rsidRDefault="00A12E11" w:rsidP="00886B7C">
      <w:pPr>
        <w:spacing w:line="360" w:lineRule="auto"/>
        <w:rPr>
          <w:sz w:val="22"/>
          <w:szCs w:val="22"/>
        </w:rPr>
      </w:pPr>
      <w:r w:rsidRPr="00886B7C">
        <w:rPr>
          <w:sz w:val="22"/>
          <w:szCs w:val="22"/>
        </w:rPr>
        <w:t xml:space="preserve">Bedoya A. M. (2024). Botany and </w:t>
      </w:r>
      <w:proofErr w:type="spellStart"/>
      <w:r w:rsidRPr="00886B7C">
        <w:rPr>
          <w:sz w:val="22"/>
          <w:szCs w:val="22"/>
        </w:rPr>
        <w:t>geogenomics</w:t>
      </w:r>
      <w:proofErr w:type="spellEnd"/>
      <w:r w:rsidRPr="00886B7C">
        <w:rPr>
          <w:sz w:val="22"/>
          <w:szCs w:val="22"/>
        </w:rPr>
        <w:t xml:space="preserve">: Constraining geological hypotheses in the </w:t>
      </w:r>
      <w:r w:rsidRPr="00886B7C">
        <w:rPr>
          <w:sz w:val="22"/>
          <w:szCs w:val="22"/>
        </w:rPr>
        <w:tab/>
        <w:t xml:space="preserve">neotropics with large-scale genetic data derived from plants. </w:t>
      </w:r>
      <w:r w:rsidRPr="00886B7C">
        <w:rPr>
          <w:i/>
          <w:iCs/>
          <w:sz w:val="22"/>
          <w:szCs w:val="22"/>
        </w:rPr>
        <w:t>American journal of botany</w:t>
      </w:r>
      <w:r w:rsidRPr="00886B7C">
        <w:rPr>
          <w:sz w:val="22"/>
          <w:szCs w:val="22"/>
        </w:rPr>
        <w:t xml:space="preserve">, </w:t>
      </w:r>
      <w:r w:rsidRPr="00886B7C">
        <w:rPr>
          <w:sz w:val="22"/>
          <w:szCs w:val="22"/>
        </w:rPr>
        <w:tab/>
      </w:r>
      <w:r w:rsidRPr="00886B7C">
        <w:rPr>
          <w:i/>
          <w:iCs/>
          <w:sz w:val="22"/>
          <w:szCs w:val="22"/>
        </w:rPr>
        <w:t>111</w:t>
      </w:r>
      <w:r w:rsidRPr="00886B7C">
        <w:rPr>
          <w:sz w:val="22"/>
          <w:szCs w:val="22"/>
        </w:rPr>
        <w:t xml:space="preserve">(4), e16306. </w:t>
      </w:r>
      <w:hyperlink r:id="rId6" w:history="1">
        <w:r w:rsidR="0032622D" w:rsidRPr="00886B7C">
          <w:rPr>
            <w:rStyle w:val="Hyperlink"/>
            <w:sz w:val="22"/>
            <w:szCs w:val="22"/>
          </w:rPr>
          <w:t>https://doi.org/10.1002/ajb2.16306</w:t>
        </w:r>
      </w:hyperlink>
    </w:p>
    <w:p w14:paraId="5AB94245" w14:textId="77777777" w:rsidR="0032622D" w:rsidRPr="00886B7C" w:rsidRDefault="0032622D" w:rsidP="00886B7C">
      <w:pPr>
        <w:spacing w:line="360" w:lineRule="auto"/>
        <w:rPr>
          <w:sz w:val="22"/>
          <w:szCs w:val="22"/>
          <w:lang w:val="es-ES"/>
        </w:rPr>
      </w:pPr>
      <w:r w:rsidRPr="00886B7C">
        <w:rPr>
          <w:sz w:val="22"/>
          <w:szCs w:val="22"/>
        </w:rPr>
        <w:t xml:space="preserve">Bedoya, A. M., </w:t>
      </w:r>
      <w:proofErr w:type="spellStart"/>
      <w:r w:rsidRPr="00886B7C">
        <w:rPr>
          <w:sz w:val="22"/>
          <w:szCs w:val="22"/>
        </w:rPr>
        <w:t>Leaché</w:t>
      </w:r>
      <w:proofErr w:type="spellEnd"/>
      <w:r w:rsidRPr="00886B7C">
        <w:rPr>
          <w:sz w:val="22"/>
          <w:szCs w:val="22"/>
        </w:rPr>
        <w:t xml:space="preserve">, A. D., &amp; Olmstead, R. G. (2021). Andean uplift, drainage basin </w:t>
      </w:r>
      <w:r w:rsidRPr="00886B7C">
        <w:rPr>
          <w:sz w:val="22"/>
          <w:szCs w:val="22"/>
        </w:rPr>
        <w:tab/>
        <w:t xml:space="preserve">formation, and the evolution of plants living in fast‐flowing aquatic ecosystems in </w:t>
      </w:r>
      <w:r w:rsidRPr="00886B7C">
        <w:rPr>
          <w:sz w:val="22"/>
          <w:szCs w:val="22"/>
        </w:rPr>
        <w:tab/>
        <w:t xml:space="preserve">northern South America. </w:t>
      </w:r>
      <w:r w:rsidRPr="00886B7C">
        <w:rPr>
          <w:i/>
          <w:iCs/>
          <w:sz w:val="22"/>
          <w:szCs w:val="22"/>
          <w:lang w:val="es-ES"/>
        </w:rPr>
        <w:t xml:space="preserve">New </w:t>
      </w:r>
      <w:proofErr w:type="spellStart"/>
      <w:r w:rsidRPr="00886B7C">
        <w:rPr>
          <w:i/>
          <w:iCs/>
          <w:sz w:val="22"/>
          <w:szCs w:val="22"/>
          <w:lang w:val="es-ES"/>
        </w:rPr>
        <w:t>Phytologist</w:t>
      </w:r>
      <w:proofErr w:type="spellEnd"/>
      <w:r w:rsidRPr="00886B7C">
        <w:rPr>
          <w:sz w:val="22"/>
          <w:szCs w:val="22"/>
          <w:lang w:val="es-ES"/>
        </w:rPr>
        <w:t xml:space="preserve">, </w:t>
      </w:r>
      <w:proofErr w:type="spellStart"/>
      <w:proofErr w:type="gramStart"/>
      <w:r w:rsidR="00F20FB5" w:rsidRPr="00886B7C">
        <w:rPr>
          <w:i/>
          <w:iCs/>
          <w:sz w:val="22"/>
          <w:szCs w:val="22"/>
          <w:lang w:val="es-ES"/>
        </w:rPr>
        <w:t>ss</w:t>
      </w:r>
      <w:proofErr w:type="spellEnd"/>
      <w:r w:rsidRPr="00886B7C">
        <w:rPr>
          <w:sz w:val="22"/>
          <w:szCs w:val="22"/>
          <w:lang w:val="es-ES"/>
        </w:rPr>
        <w:t>(</w:t>
      </w:r>
      <w:proofErr w:type="gramEnd"/>
      <w:r w:rsidRPr="00886B7C">
        <w:rPr>
          <w:sz w:val="22"/>
          <w:szCs w:val="22"/>
          <w:lang w:val="es-ES"/>
        </w:rPr>
        <w:t>5), 2175-2190.</w:t>
      </w:r>
    </w:p>
    <w:p w14:paraId="103047C2" w14:textId="77777777" w:rsidR="00495A79" w:rsidRPr="00886B7C" w:rsidRDefault="00495A79" w:rsidP="00886B7C">
      <w:pPr>
        <w:spacing w:line="360" w:lineRule="auto"/>
        <w:rPr>
          <w:sz w:val="22"/>
          <w:szCs w:val="22"/>
        </w:rPr>
      </w:pPr>
      <w:r w:rsidRPr="00886B7C">
        <w:rPr>
          <w:sz w:val="22"/>
          <w:szCs w:val="22"/>
          <w:lang w:val="es-ES"/>
        </w:rPr>
        <w:t xml:space="preserve">Bueno-Hernández, A., Barahona, A., J </w:t>
      </w:r>
      <w:proofErr w:type="spellStart"/>
      <w:r w:rsidRPr="00886B7C">
        <w:rPr>
          <w:sz w:val="22"/>
          <w:szCs w:val="22"/>
          <w:lang w:val="es-ES"/>
        </w:rPr>
        <w:t>Morrone</w:t>
      </w:r>
      <w:proofErr w:type="spellEnd"/>
      <w:r w:rsidRPr="00886B7C">
        <w:rPr>
          <w:sz w:val="22"/>
          <w:szCs w:val="22"/>
          <w:lang w:val="es-ES"/>
        </w:rPr>
        <w:t xml:space="preserve">, J., Espinosa, D., &amp; Juárez-Barrera, F. (2023). </w:t>
      </w:r>
      <w:r w:rsidRPr="00886B7C">
        <w:rPr>
          <w:sz w:val="22"/>
          <w:szCs w:val="22"/>
          <w:lang w:val="es-ES"/>
        </w:rPr>
        <w:tab/>
      </w:r>
      <w:r w:rsidRPr="00886B7C">
        <w:rPr>
          <w:sz w:val="22"/>
          <w:szCs w:val="22"/>
        </w:rPr>
        <w:t xml:space="preserve">Historiographical approaches to biogeography: a critical review. History and philosophy </w:t>
      </w:r>
      <w:r w:rsidRPr="00886B7C">
        <w:rPr>
          <w:sz w:val="22"/>
          <w:szCs w:val="22"/>
        </w:rPr>
        <w:tab/>
        <w:t xml:space="preserve">of the life sciences, 45(3), 27. </w:t>
      </w:r>
      <w:hyperlink r:id="rId7" w:history="1">
        <w:r w:rsidR="0016515A" w:rsidRPr="00886B7C">
          <w:rPr>
            <w:rStyle w:val="Hyperlink"/>
            <w:sz w:val="22"/>
            <w:szCs w:val="22"/>
          </w:rPr>
          <w:t>https://doi.org/10.1007/s40656-023-00580-9</w:t>
        </w:r>
      </w:hyperlink>
    </w:p>
    <w:p w14:paraId="273D862A" w14:textId="77777777" w:rsidR="00131287" w:rsidRPr="00886B7C" w:rsidRDefault="00131287" w:rsidP="00886B7C">
      <w:pPr>
        <w:spacing w:line="360" w:lineRule="auto"/>
        <w:rPr>
          <w:sz w:val="22"/>
          <w:szCs w:val="22"/>
          <w:lang w:val="es-ES"/>
        </w:rPr>
      </w:pPr>
      <w:r w:rsidRPr="00886B7C">
        <w:rPr>
          <w:sz w:val="22"/>
          <w:szCs w:val="22"/>
        </w:rPr>
        <w:t xml:space="preserve">Dolby, G. A., Bennett, S. E. K., Dorsey, R. J., Stokes, M. F., Riddle, B. R., Lira-Noriega, A., </w:t>
      </w:r>
      <w:r w:rsidRPr="00886B7C">
        <w:rPr>
          <w:sz w:val="22"/>
          <w:szCs w:val="22"/>
        </w:rPr>
        <w:tab/>
        <w:t xml:space="preserve">Munguia-Vega, A., &amp; Wilder, B. T. (2022). Integrating Earth-life systems: a </w:t>
      </w:r>
      <w:proofErr w:type="spellStart"/>
      <w:r w:rsidRPr="00886B7C">
        <w:rPr>
          <w:sz w:val="22"/>
          <w:szCs w:val="22"/>
        </w:rPr>
        <w:t>geogenomic</w:t>
      </w:r>
      <w:proofErr w:type="spellEnd"/>
      <w:r w:rsidRPr="00886B7C">
        <w:rPr>
          <w:sz w:val="22"/>
          <w:szCs w:val="22"/>
        </w:rPr>
        <w:t xml:space="preserve"> </w:t>
      </w:r>
      <w:r w:rsidRPr="00886B7C">
        <w:rPr>
          <w:sz w:val="22"/>
          <w:szCs w:val="22"/>
        </w:rPr>
        <w:tab/>
        <w:t xml:space="preserve">approach. Trends in ecology &amp; evolution, 37(4), 371–384. </w:t>
      </w:r>
      <w:r w:rsidRPr="00886B7C">
        <w:rPr>
          <w:sz w:val="22"/>
          <w:szCs w:val="22"/>
        </w:rPr>
        <w:tab/>
      </w:r>
      <w:r w:rsidRPr="00886B7C">
        <w:rPr>
          <w:sz w:val="22"/>
          <w:szCs w:val="22"/>
          <w:lang w:val="es-ES"/>
        </w:rPr>
        <w:t>https://doi.org/10.1016/j.tree.2021.12.004</w:t>
      </w:r>
    </w:p>
    <w:p w14:paraId="7E50C4EF" w14:textId="77777777" w:rsidR="0016515A" w:rsidRPr="00886B7C" w:rsidRDefault="0016515A" w:rsidP="00886B7C">
      <w:pPr>
        <w:spacing w:line="360" w:lineRule="auto"/>
        <w:rPr>
          <w:rStyle w:val="Hyperlink"/>
          <w:sz w:val="22"/>
          <w:szCs w:val="22"/>
        </w:rPr>
      </w:pPr>
      <w:r w:rsidRPr="00886B7C">
        <w:rPr>
          <w:sz w:val="22"/>
          <w:szCs w:val="22"/>
          <w:lang w:val="es-ES"/>
        </w:rPr>
        <w:t xml:space="preserve">dos Reis, M., </w:t>
      </w:r>
      <w:proofErr w:type="spellStart"/>
      <w:r w:rsidRPr="00886B7C">
        <w:rPr>
          <w:sz w:val="22"/>
          <w:szCs w:val="22"/>
          <w:lang w:val="es-ES"/>
        </w:rPr>
        <w:t>Inoue</w:t>
      </w:r>
      <w:proofErr w:type="spellEnd"/>
      <w:r w:rsidRPr="00886B7C">
        <w:rPr>
          <w:sz w:val="22"/>
          <w:szCs w:val="22"/>
          <w:lang w:val="es-ES"/>
        </w:rPr>
        <w:t xml:space="preserve">, J., </w:t>
      </w:r>
      <w:proofErr w:type="spellStart"/>
      <w:r w:rsidRPr="00886B7C">
        <w:rPr>
          <w:sz w:val="22"/>
          <w:szCs w:val="22"/>
          <w:lang w:val="es-ES"/>
        </w:rPr>
        <w:t>Hasegawa</w:t>
      </w:r>
      <w:proofErr w:type="spellEnd"/>
      <w:r w:rsidRPr="00886B7C">
        <w:rPr>
          <w:sz w:val="22"/>
          <w:szCs w:val="22"/>
          <w:lang w:val="es-ES"/>
        </w:rPr>
        <w:t xml:space="preserve">, M., </w:t>
      </w:r>
      <w:proofErr w:type="spellStart"/>
      <w:r w:rsidRPr="00886B7C">
        <w:rPr>
          <w:sz w:val="22"/>
          <w:szCs w:val="22"/>
          <w:lang w:val="es-ES"/>
        </w:rPr>
        <w:t>Asher</w:t>
      </w:r>
      <w:proofErr w:type="spellEnd"/>
      <w:r w:rsidRPr="00886B7C">
        <w:rPr>
          <w:sz w:val="22"/>
          <w:szCs w:val="22"/>
          <w:lang w:val="es-ES"/>
        </w:rPr>
        <w:t xml:space="preserve">, R. J., </w:t>
      </w:r>
      <w:proofErr w:type="spellStart"/>
      <w:r w:rsidRPr="00886B7C">
        <w:rPr>
          <w:sz w:val="22"/>
          <w:szCs w:val="22"/>
          <w:lang w:val="es-ES"/>
        </w:rPr>
        <w:t>Donoghue</w:t>
      </w:r>
      <w:proofErr w:type="spellEnd"/>
      <w:r w:rsidRPr="00886B7C">
        <w:rPr>
          <w:sz w:val="22"/>
          <w:szCs w:val="22"/>
          <w:lang w:val="es-ES"/>
        </w:rPr>
        <w:t xml:space="preserve">, P. C., &amp; Yang, Z. (2012). </w:t>
      </w:r>
      <w:r w:rsidRPr="00886B7C">
        <w:rPr>
          <w:sz w:val="22"/>
          <w:szCs w:val="22"/>
          <w:lang w:val="es-ES"/>
        </w:rPr>
        <w:tab/>
      </w:r>
      <w:r w:rsidRPr="00886B7C">
        <w:rPr>
          <w:sz w:val="22"/>
          <w:szCs w:val="22"/>
        </w:rPr>
        <w:t xml:space="preserve">Phylogenomic datasets provide both precision and accuracy in estimating the timescale of </w:t>
      </w:r>
      <w:r w:rsidRPr="00886B7C">
        <w:rPr>
          <w:sz w:val="22"/>
          <w:szCs w:val="22"/>
        </w:rPr>
        <w:tab/>
        <w:t xml:space="preserve">placental mammal phylogeny. </w:t>
      </w:r>
      <w:r w:rsidRPr="00886B7C">
        <w:rPr>
          <w:i/>
          <w:iCs/>
          <w:sz w:val="22"/>
          <w:szCs w:val="22"/>
        </w:rPr>
        <w:t>Proceedings</w:t>
      </w:r>
      <w:r w:rsidRPr="00886B7C">
        <w:rPr>
          <w:sz w:val="22"/>
          <w:szCs w:val="22"/>
        </w:rPr>
        <w:t xml:space="preserve">. </w:t>
      </w:r>
      <w:r w:rsidRPr="00886B7C">
        <w:rPr>
          <w:i/>
          <w:iCs/>
          <w:sz w:val="22"/>
          <w:szCs w:val="22"/>
        </w:rPr>
        <w:t>Biological sciences</w:t>
      </w:r>
      <w:r w:rsidRPr="00886B7C">
        <w:rPr>
          <w:sz w:val="22"/>
          <w:szCs w:val="22"/>
        </w:rPr>
        <w:t xml:space="preserve">, </w:t>
      </w:r>
      <w:r w:rsidRPr="00886B7C">
        <w:rPr>
          <w:i/>
          <w:iCs/>
          <w:sz w:val="22"/>
          <w:szCs w:val="22"/>
        </w:rPr>
        <w:t>279</w:t>
      </w:r>
      <w:r w:rsidRPr="00886B7C">
        <w:rPr>
          <w:sz w:val="22"/>
          <w:szCs w:val="22"/>
        </w:rPr>
        <w:t xml:space="preserve">(1742), 3491–3500. </w:t>
      </w:r>
      <w:r w:rsidRPr="00886B7C">
        <w:rPr>
          <w:sz w:val="22"/>
          <w:szCs w:val="22"/>
        </w:rPr>
        <w:tab/>
      </w:r>
      <w:hyperlink r:id="rId8" w:history="1">
        <w:r w:rsidR="00632DF9" w:rsidRPr="00886B7C">
          <w:rPr>
            <w:rStyle w:val="Hyperlink"/>
            <w:sz w:val="22"/>
            <w:szCs w:val="22"/>
          </w:rPr>
          <w:t>https://doi.org/10.1098/rspb.2012.0683</w:t>
        </w:r>
      </w:hyperlink>
    </w:p>
    <w:p w14:paraId="7B9FF031" w14:textId="77777777" w:rsidR="00316EFE" w:rsidRPr="00886B7C" w:rsidRDefault="00316EFE" w:rsidP="00886B7C">
      <w:pPr>
        <w:spacing w:line="360" w:lineRule="auto"/>
        <w:rPr>
          <w:sz w:val="22"/>
          <w:szCs w:val="22"/>
        </w:rPr>
      </w:pPr>
      <w:proofErr w:type="spellStart"/>
      <w:r w:rsidRPr="00886B7C">
        <w:rPr>
          <w:sz w:val="22"/>
          <w:szCs w:val="22"/>
        </w:rPr>
        <w:t>Fabreti</w:t>
      </w:r>
      <w:proofErr w:type="spellEnd"/>
      <w:r w:rsidRPr="00886B7C">
        <w:rPr>
          <w:sz w:val="22"/>
          <w:szCs w:val="22"/>
        </w:rPr>
        <w:t xml:space="preserve">, L. G., &amp; </w:t>
      </w:r>
      <w:proofErr w:type="spellStart"/>
      <w:r w:rsidRPr="00886B7C">
        <w:rPr>
          <w:sz w:val="22"/>
          <w:szCs w:val="22"/>
        </w:rPr>
        <w:t>Höhna</w:t>
      </w:r>
      <w:proofErr w:type="spellEnd"/>
      <w:r w:rsidRPr="00886B7C">
        <w:rPr>
          <w:sz w:val="22"/>
          <w:szCs w:val="22"/>
        </w:rPr>
        <w:t xml:space="preserve">, S. (2022). Convergence assessment for Bayesian phylogenetic analysis </w:t>
      </w:r>
      <w:r w:rsidRPr="00886B7C">
        <w:rPr>
          <w:sz w:val="22"/>
          <w:szCs w:val="22"/>
        </w:rPr>
        <w:tab/>
        <w:t xml:space="preserve">using MCMC simulation. </w:t>
      </w:r>
      <w:r w:rsidRPr="00886B7C">
        <w:rPr>
          <w:i/>
          <w:iCs/>
          <w:sz w:val="22"/>
          <w:szCs w:val="22"/>
        </w:rPr>
        <w:t>Methods in Ecology and Evolution</w:t>
      </w:r>
      <w:r w:rsidRPr="00886B7C">
        <w:rPr>
          <w:sz w:val="22"/>
          <w:szCs w:val="22"/>
        </w:rPr>
        <w:t xml:space="preserve">, </w:t>
      </w:r>
      <w:r w:rsidRPr="00886B7C">
        <w:rPr>
          <w:i/>
          <w:iCs/>
          <w:sz w:val="22"/>
          <w:szCs w:val="22"/>
        </w:rPr>
        <w:t>13</w:t>
      </w:r>
      <w:r w:rsidRPr="00886B7C">
        <w:rPr>
          <w:sz w:val="22"/>
          <w:szCs w:val="22"/>
        </w:rPr>
        <w:t>(1), 77-90.</w:t>
      </w:r>
    </w:p>
    <w:p w14:paraId="41CE933E" w14:textId="77777777" w:rsidR="00632DF9" w:rsidRPr="00886B7C" w:rsidRDefault="00632DF9" w:rsidP="00886B7C">
      <w:pPr>
        <w:spacing w:line="360" w:lineRule="auto"/>
        <w:rPr>
          <w:sz w:val="22"/>
          <w:szCs w:val="22"/>
        </w:rPr>
      </w:pPr>
      <w:r w:rsidRPr="00886B7C">
        <w:rPr>
          <w:sz w:val="22"/>
          <w:szCs w:val="22"/>
        </w:rPr>
        <w:lastRenderedPageBreak/>
        <w:t xml:space="preserve">Gower, G., Ragsdale, A. P., Bisschop, G., Gutenkunst, R. N., Hartfield, M., Noskova, E., </w:t>
      </w:r>
      <w:r w:rsidRPr="00886B7C">
        <w:rPr>
          <w:sz w:val="22"/>
          <w:szCs w:val="22"/>
        </w:rPr>
        <w:tab/>
      </w:r>
      <w:proofErr w:type="spellStart"/>
      <w:r w:rsidRPr="00886B7C">
        <w:rPr>
          <w:sz w:val="22"/>
          <w:szCs w:val="22"/>
        </w:rPr>
        <w:t>Schiffels</w:t>
      </w:r>
      <w:proofErr w:type="spellEnd"/>
      <w:r w:rsidRPr="00886B7C">
        <w:rPr>
          <w:sz w:val="22"/>
          <w:szCs w:val="22"/>
        </w:rPr>
        <w:t xml:space="preserve">, S., Struck, T. J., Kelleher, J., &amp; Thornton, K. R. (2022). Demes: a standard </w:t>
      </w:r>
      <w:r w:rsidRPr="00886B7C">
        <w:rPr>
          <w:sz w:val="22"/>
          <w:szCs w:val="22"/>
        </w:rPr>
        <w:tab/>
        <w:t xml:space="preserve">format for demographic models. </w:t>
      </w:r>
      <w:r w:rsidRPr="00886B7C">
        <w:rPr>
          <w:i/>
          <w:iCs/>
          <w:sz w:val="22"/>
          <w:szCs w:val="22"/>
        </w:rPr>
        <w:t>Genetics</w:t>
      </w:r>
      <w:r w:rsidRPr="00886B7C">
        <w:rPr>
          <w:sz w:val="22"/>
          <w:szCs w:val="22"/>
        </w:rPr>
        <w:t xml:space="preserve">, </w:t>
      </w:r>
      <w:r w:rsidRPr="00886B7C">
        <w:rPr>
          <w:i/>
          <w:iCs/>
          <w:sz w:val="22"/>
          <w:szCs w:val="22"/>
        </w:rPr>
        <w:t>222</w:t>
      </w:r>
      <w:r w:rsidRPr="00886B7C">
        <w:rPr>
          <w:sz w:val="22"/>
          <w:szCs w:val="22"/>
        </w:rPr>
        <w:t xml:space="preserve">(3), iyac131. </w:t>
      </w:r>
      <w:r w:rsidRPr="00886B7C">
        <w:rPr>
          <w:sz w:val="22"/>
          <w:szCs w:val="22"/>
        </w:rPr>
        <w:tab/>
        <w:t>https://doi.org/10.1093/genetics/iyac131</w:t>
      </w:r>
    </w:p>
    <w:p w14:paraId="2CF38CB6" w14:textId="77777777" w:rsidR="00632DF9" w:rsidRPr="00886B7C" w:rsidRDefault="00632DF9" w:rsidP="00886B7C">
      <w:pPr>
        <w:spacing w:line="360" w:lineRule="auto"/>
        <w:rPr>
          <w:sz w:val="22"/>
          <w:szCs w:val="22"/>
        </w:rPr>
      </w:pPr>
      <w:r w:rsidRPr="00886B7C">
        <w:rPr>
          <w:sz w:val="22"/>
          <w:szCs w:val="22"/>
        </w:rPr>
        <w:t xml:space="preserve">Harris, C. R., Millman, K. J., van der Walt, S. J., </w:t>
      </w:r>
      <w:proofErr w:type="spellStart"/>
      <w:r w:rsidRPr="00886B7C">
        <w:rPr>
          <w:sz w:val="22"/>
          <w:szCs w:val="22"/>
        </w:rPr>
        <w:t>Gommers</w:t>
      </w:r>
      <w:proofErr w:type="spellEnd"/>
      <w:r w:rsidRPr="00886B7C">
        <w:rPr>
          <w:sz w:val="22"/>
          <w:szCs w:val="22"/>
        </w:rPr>
        <w:t xml:space="preserve">, R., Virtanen, P., </w:t>
      </w:r>
      <w:proofErr w:type="spellStart"/>
      <w:r w:rsidRPr="00886B7C">
        <w:rPr>
          <w:sz w:val="22"/>
          <w:szCs w:val="22"/>
        </w:rPr>
        <w:t>Cournapeau</w:t>
      </w:r>
      <w:proofErr w:type="spellEnd"/>
      <w:r w:rsidRPr="00886B7C">
        <w:rPr>
          <w:sz w:val="22"/>
          <w:szCs w:val="22"/>
        </w:rPr>
        <w:t xml:space="preserve">, D., </w:t>
      </w:r>
      <w:r w:rsidRPr="00886B7C">
        <w:rPr>
          <w:sz w:val="22"/>
          <w:szCs w:val="22"/>
        </w:rPr>
        <w:tab/>
        <w:t xml:space="preserve">Wieser, E., Taylor, J., Berg, S., Smith, N. J., Kern, R., </w:t>
      </w:r>
      <w:proofErr w:type="spellStart"/>
      <w:r w:rsidRPr="00886B7C">
        <w:rPr>
          <w:sz w:val="22"/>
          <w:szCs w:val="22"/>
        </w:rPr>
        <w:t>Picus</w:t>
      </w:r>
      <w:proofErr w:type="spellEnd"/>
      <w:r w:rsidRPr="00886B7C">
        <w:rPr>
          <w:sz w:val="22"/>
          <w:szCs w:val="22"/>
        </w:rPr>
        <w:t xml:space="preserve">, M., Hoyer, S., van </w:t>
      </w:r>
      <w:r w:rsidRPr="00886B7C">
        <w:rPr>
          <w:sz w:val="22"/>
          <w:szCs w:val="22"/>
        </w:rPr>
        <w:tab/>
      </w:r>
      <w:proofErr w:type="spellStart"/>
      <w:r w:rsidRPr="00886B7C">
        <w:rPr>
          <w:sz w:val="22"/>
          <w:szCs w:val="22"/>
        </w:rPr>
        <w:t>Kerkwijk</w:t>
      </w:r>
      <w:proofErr w:type="spellEnd"/>
      <w:r w:rsidRPr="00886B7C">
        <w:rPr>
          <w:sz w:val="22"/>
          <w:szCs w:val="22"/>
        </w:rPr>
        <w:t>, M. H., Brett, M., Haldane, A., Del Río, J. F., Wiebe, M., Peterson, P., Gérard-</w:t>
      </w:r>
      <w:r w:rsidRPr="00886B7C">
        <w:rPr>
          <w:sz w:val="22"/>
          <w:szCs w:val="22"/>
        </w:rPr>
        <w:tab/>
        <w:t xml:space="preserve">Marchant, P., … Oliphant, T. E. (2020). Array programming with NumPy. Nature, </w:t>
      </w:r>
      <w:r w:rsidRPr="00886B7C">
        <w:rPr>
          <w:sz w:val="22"/>
          <w:szCs w:val="22"/>
        </w:rPr>
        <w:tab/>
        <w:t>585(7825), 357–362. https://doi.org/10.1038/s41586-020-2649-2</w:t>
      </w:r>
    </w:p>
    <w:p w14:paraId="1669FE22" w14:textId="77777777" w:rsidR="000D41B9" w:rsidRPr="00886B7C" w:rsidRDefault="000D41B9" w:rsidP="00886B7C">
      <w:pPr>
        <w:spacing w:line="360" w:lineRule="auto"/>
        <w:rPr>
          <w:sz w:val="22"/>
          <w:szCs w:val="22"/>
        </w:rPr>
      </w:pPr>
      <w:r w:rsidRPr="00886B7C">
        <w:rPr>
          <w:sz w:val="22"/>
          <w:szCs w:val="22"/>
        </w:rPr>
        <w:t xml:space="preserve">Harris, L. W., &amp; Davies, T. J. (2016). A Complete Fossil-Calibrated Phylogeny of Seed Plant </w:t>
      </w:r>
      <w:r w:rsidRPr="00886B7C">
        <w:rPr>
          <w:sz w:val="22"/>
          <w:szCs w:val="22"/>
        </w:rPr>
        <w:tab/>
        <w:t xml:space="preserve">Families as a Tool for Comparative Analyses: Testing the 'Time for Speciation' </w:t>
      </w:r>
      <w:r w:rsidRPr="00886B7C">
        <w:rPr>
          <w:sz w:val="22"/>
          <w:szCs w:val="22"/>
        </w:rPr>
        <w:tab/>
        <w:t xml:space="preserve">Hypothesis. </w:t>
      </w:r>
      <w:proofErr w:type="spellStart"/>
      <w:r w:rsidRPr="00886B7C">
        <w:rPr>
          <w:i/>
          <w:iCs/>
          <w:sz w:val="22"/>
          <w:szCs w:val="22"/>
        </w:rPr>
        <w:t>PloS</w:t>
      </w:r>
      <w:proofErr w:type="spellEnd"/>
      <w:r w:rsidRPr="00886B7C">
        <w:rPr>
          <w:i/>
          <w:iCs/>
          <w:sz w:val="22"/>
          <w:szCs w:val="22"/>
        </w:rPr>
        <w:t xml:space="preserve"> one</w:t>
      </w:r>
      <w:r w:rsidRPr="00886B7C">
        <w:rPr>
          <w:sz w:val="22"/>
          <w:szCs w:val="22"/>
        </w:rPr>
        <w:t xml:space="preserve">, </w:t>
      </w:r>
      <w:r w:rsidRPr="00886B7C">
        <w:rPr>
          <w:i/>
          <w:iCs/>
          <w:sz w:val="22"/>
          <w:szCs w:val="22"/>
        </w:rPr>
        <w:t>11</w:t>
      </w:r>
      <w:r w:rsidRPr="00886B7C">
        <w:rPr>
          <w:sz w:val="22"/>
          <w:szCs w:val="22"/>
        </w:rPr>
        <w:t xml:space="preserve">(10), e0162907. </w:t>
      </w:r>
      <w:hyperlink r:id="rId9" w:history="1">
        <w:r w:rsidR="00D757BF" w:rsidRPr="00886B7C">
          <w:rPr>
            <w:rStyle w:val="Hyperlink"/>
            <w:sz w:val="22"/>
            <w:szCs w:val="22"/>
          </w:rPr>
          <w:t>https://doi.org/10.1371/journal.pone.0162907</w:t>
        </w:r>
      </w:hyperlink>
    </w:p>
    <w:p w14:paraId="7B4713EC" w14:textId="77777777" w:rsidR="00034BB5" w:rsidRPr="00886B7C" w:rsidRDefault="00034BB5" w:rsidP="00886B7C">
      <w:pPr>
        <w:spacing w:line="360" w:lineRule="auto"/>
        <w:rPr>
          <w:rStyle w:val="Hyperlink"/>
          <w:sz w:val="22"/>
          <w:szCs w:val="22"/>
        </w:rPr>
      </w:pPr>
      <w:proofErr w:type="spellStart"/>
      <w:r w:rsidRPr="00886B7C">
        <w:rPr>
          <w:sz w:val="22"/>
          <w:szCs w:val="22"/>
        </w:rPr>
        <w:t>Höhna</w:t>
      </w:r>
      <w:proofErr w:type="spellEnd"/>
      <w:r w:rsidRPr="00886B7C">
        <w:rPr>
          <w:sz w:val="22"/>
          <w:szCs w:val="22"/>
        </w:rPr>
        <w:t xml:space="preserve">, S., Landis, M. J., Heath, T. A., </w:t>
      </w:r>
      <w:proofErr w:type="spellStart"/>
      <w:r w:rsidRPr="00886B7C">
        <w:rPr>
          <w:sz w:val="22"/>
          <w:szCs w:val="22"/>
        </w:rPr>
        <w:t>Boussau</w:t>
      </w:r>
      <w:proofErr w:type="spellEnd"/>
      <w:r w:rsidRPr="00886B7C">
        <w:rPr>
          <w:sz w:val="22"/>
          <w:szCs w:val="22"/>
        </w:rPr>
        <w:t xml:space="preserve">, B., </w:t>
      </w:r>
      <w:proofErr w:type="spellStart"/>
      <w:r w:rsidRPr="00886B7C">
        <w:rPr>
          <w:sz w:val="22"/>
          <w:szCs w:val="22"/>
        </w:rPr>
        <w:t>Lartillot</w:t>
      </w:r>
      <w:proofErr w:type="spellEnd"/>
      <w:r w:rsidRPr="00886B7C">
        <w:rPr>
          <w:sz w:val="22"/>
          <w:szCs w:val="22"/>
        </w:rPr>
        <w:t xml:space="preserve">, N., Moore, B. R., Huelsenbeck, J. </w:t>
      </w:r>
      <w:r w:rsidRPr="00886B7C">
        <w:rPr>
          <w:sz w:val="22"/>
          <w:szCs w:val="22"/>
        </w:rPr>
        <w:tab/>
        <w:t xml:space="preserve">P., &amp; Ronquist, F. (2016). </w:t>
      </w:r>
      <w:proofErr w:type="spellStart"/>
      <w:r w:rsidRPr="00886B7C">
        <w:rPr>
          <w:sz w:val="22"/>
          <w:szCs w:val="22"/>
        </w:rPr>
        <w:t>RevBayes</w:t>
      </w:r>
      <w:proofErr w:type="spellEnd"/>
      <w:r w:rsidRPr="00886B7C">
        <w:rPr>
          <w:sz w:val="22"/>
          <w:szCs w:val="22"/>
        </w:rPr>
        <w:t xml:space="preserve">: Bayesian Phylogenetic Inference Using Graphical </w:t>
      </w:r>
      <w:r w:rsidRPr="00886B7C">
        <w:rPr>
          <w:sz w:val="22"/>
          <w:szCs w:val="22"/>
        </w:rPr>
        <w:tab/>
        <w:t xml:space="preserve">Models and an Interactive Model-Specification Language. </w:t>
      </w:r>
      <w:r w:rsidRPr="00886B7C">
        <w:rPr>
          <w:i/>
          <w:iCs/>
          <w:sz w:val="22"/>
          <w:szCs w:val="22"/>
        </w:rPr>
        <w:t>Systematic Biology</w:t>
      </w:r>
      <w:r w:rsidRPr="00886B7C">
        <w:rPr>
          <w:sz w:val="22"/>
          <w:szCs w:val="22"/>
        </w:rPr>
        <w:t xml:space="preserve">, </w:t>
      </w:r>
      <w:r w:rsidRPr="00886B7C">
        <w:rPr>
          <w:i/>
          <w:iCs/>
          <w:sz w:val="22"/>
          <w:szCs w:val="22"/>
        </w:rPr>
        <w:t>65</w:t>
      </w:r>
      <w:r w:rsidRPr="00886B7C">
        <w:rPr>
          <w:sz w:val="22"/>
          <w:szCs w:val="22"/>
        </w:rPr>
        <w:t xml:space="preserve">(4), </w:t>
      </w:r>
      <w:r w:rsidRPr="00886B7C">
        <w:rPr>
          <w:sz w:val="22"/>
          <w:szCs w:val="22"/>
        </w:rPr>
        <w:tab/>
        <w:t xml:space="preserve">726–736. </w:t>
      </w:r>
      <w:hyperlink r:id="rId10" w:history="1">
        <w:r w:rsidRPr="00886B7C">
          <w:rPr>
            <w:rStyle w:val="Hyperlink"/>
            <w:sz w:val="22"/>
            <w:szCs w:val="22"/>
          </w:rPr>
          <w:t>https://doi.org/10.1093/sysbio/syw021</w:t>
        </w:r>
      </w:hyperlink>
    </w:p>
    <w:p w14:paraId="70D44010" w14:textId="77777777" w:rsidR="00770D48" w:rsidRPr="00886B7C" w:rsidRDefault="00770D48" w:rsidP="00886B7C">
      <w:pPr>
        <w:spacing w:line="360" w:lineRule="auto"/>
        <w:rPr>
          <w:sz w:val="22"/>
          <w:szCs w:val="22"/>
        </w:rPr>
      </w:pPr>
      <w:r w:rsidRPr="00886B7C">
        <w:rPr>
          <w:sz w:val="22"/>
          <w:szCs w:val="22"/>
        </w:rPr>
        <w:t xml:space="preserve">Koch, M. A., Haubold, B., &amp; Mitchell-Olds, T. (2000). Comparative evolutionary analysis of </w:t>
      </w:r>
      <w:r w:rsidRPr="00886B7C">
        <w:rPr>
          <w:sz w:val="22"/>
          <w:szCs w:val="22"/>
        </w:rPr>
        <w:tab/>
        <w:t xml:space="preserve">chalcone synthase and alcohol dehydrogenase loci in Arabidopsis, Arabis, and related </w:t>
      </w:r>
      <w:r w:rsidRPr="00886B7C">
        <w:rPr>
          <w:sz w:val="22"/>
          <w:szCs w:val="22"/>
        </w:rPr>
        <w:tab/>
        <w:t xml:space="preserve">genera (Brassicaceae). </w:t>
      </w:r>
      <w:r w:rsidRPr="00886B7C">
        <w:rPr>
          <w:i/>
          <w:iCs/>
          <w:sz w:val="22"/>
          <w:szCs w:val="22"/>
        </w:rPr>
        <w:t>Molecular biology and evolution</w:t>
      </w:r>
      <w:r w:rsidRPr="00886B7C">
        <w:rPr>
          <w:sz w:val="22"/>
          <w:szCs w:val="22"/>
        </w:rPr>
        <w:t xml:space="preserve">, </w:t>
      </w:r>
      <w:r w:rsidRPr="00886B7C">
        <w:rPr>
          <w:i/>
          <w:iCs/>
          <w:sz w:val="22"/>
          <w:szCs w:val="22"/>
        </w:rPr>
        <w:t>17</w:t>
      </w:r>
      <w:r w:rsidRPr="00886B7C">
        <w:rPr>
          <w:sz w:val="22"/>
          <w:szCs w:val="22"/>
        </w:rPr>
        <w:t xml:space="preserve">(10), 1483–1498. </w:t>
      </w:r>
      <w:r w:rsidR="004D584E" w:rsidRPr="00886B7C">
        <w:rPr>
          <w:sz w:val="22"/>
          <w:szCs w:val="22"/>
        </w:rPr>
        <w:tab/>
      </w:r>
      <w:r w:rsidRPr="00886B7C">
        <w:rPr>
          <w:sz w:val="22"/>
          <w:szCs w:val="22"/>
        </w:rPr>
        <w:t>https://doi.org/10.1093/oxfordjournals.molbev.a026248</w:t>
      </w:r>
    </w:p>
    <w:p w14:paraId="19AAA56B" w14:textId="77777777" w:rsidR="00034BB5" w:rsidRPr="00886B7C" w:rsidRDefault="00034BB5" w:rsidP="00886B7C">
      <w:pPr>
        <w:spacing w:line="360" w:lineRule="auto"/>
        <w:rPr>
          <w:sz w:val="22"/>
          <w:szCs w:val="22"/>
        </w:rPr>
      </w:pPr>
      <w:r w:rsidRPr="00886B7C">
        <w:rPr>
          <w:sz w:val="22"/>
          <w:szCs w:val="22"/>
        </w:rPr>
        <w:t xml:space="preserve">Landis M.J. 2017. Biogeographic dating of speciation times using </w:t>
      </w:r>
      <w:proofErr w:type="spellStart"/>
      <w:r w:rsidRPr="00886B7C">
        <w:rPr>
          <w:sz w:val="22"/>
          <w:szCs w:val="22"/>
        </w:rPr>
        <w:t>paleogeographically</w:t>
      </w:r>
      <w:proofErr w:type="spellEnd"/>
      <w:r w:rsidRPr="00886B7C">
        <w:rPr>
          <w:sz w:val="22"/>
          <w:szCs w:val="22"/>
        </w:rPr>
        <w:t xml:space="preserve"> informed </w:t>
      </w:r>
      <w:r w:rsidRPr="00886B7C">
        <w:rPr>
          <w:sz w:val="22"/>
          <w:szCs w:val="22"/>
        </w:rPr>
        <w:tab/>
        <w:t xml:space="preserve">processes. </w:t>
      </w:r>
      <w:r w:rsidRPr="00886B7C">
        <w:rPr>
          <w:i/>
          <w:iCs/>
          <w:sz w:val="22"/>
          <w:szCs w:val="22"/>
        </w:rPr>
        <w:t>Systematic Biology</w:t>
      </w:r>
      <w:r w:rsidRPr="00886B7C">
        <w:rPr>
          <w:sz w:val="22"/>
          <w:szCs w:val="22"/>
        </w:rPr>
        <w:t xml:space="preserve">, </w:t>
      </w:r>
      <w:r w:rsidRPr="00886B7C">
        <w:rPr>
          <w:i/>
          <w:iCs/>
          <w:sz w:val="22"/>
          <w:szCs w:val="22"/>
        </w:rPr>
        <w:t>66</w:t>
      </w:r>
      <w:r w:rsidRPr="00886B7C">
        <w:rPr>
          <w:sz w:val="22"/>
          <w:szCs w:val="22"/>
        </w:rPr>
        <w:t>(2), 128–144. 10.1093/</w:t>
      </w:r>
      <w:proofErr w:type="spellStart"/>
      <w:r w:rsidRPr="00886B7C">
        <w:rPr>
          <w:sz w:val="22"/>
          <w:szCs w:val="22"/>
        </w:rPr>
        <w:t>sysbio</w:t>
      </w:r>
      <w:proofErr w:type="spellEnd"/>
      <w:r w:rsidRPr="00886B7C">
        <w:rPr>
          <w:sz w:val="22"/>
          <w:szCs w:val="22"/>
        </w:rPr>
        <w:t>/syw040</w:t>
      </w:r>
    </w:p>
    <w:p w14:paraId="4298BA3C" w14:textId="77777777" w:rsidR="00233C16" w:rsidRPr="00886B7C" w:rsidRDefault="00034BB5" w:rsidP="00886B7C">
      <w:pPr>
        <w:spacing w:line="360" w:lineRule="auto"/>
        <w:rPr>
          <w:rStyle w:val="Hyperlink"/>
          <w:sz w:val="22"/>
          <w:szCs w:val="22"/>
        </w:rPr>
      </w:pPr>
      <w:r w:rsidRPr="00886B7C">
        <w:rPr>
          <w:sz w:val="22"/>
          <w:szCs w:val="22"/>
        </w:rPr>
        <w:t xml:space="preserve">Landis, M. J., Freyman, W. A., &amp; Baldwin, B. G. (2018). Retracing the Hawaiian </w:t>
      </w:r>
      <w:proofErr w:type="spellStart"/>
      <w:r w:rsidRPr="00886B7C">
        <w:rPr>
          <w:sz w:val="22"/>
          <w:szCs w:val="22"/>
        </w:rPr>
        <w:t>silversword</w:t>
      </w:r>
      <w:proofErr w:type="spellEnd"/>
      <w:r w:rsidRPr="00886B7C">
        <w:rPr>
          <w:sz w:val="22"/>
          <w:szCs w:val="22"/>
        </w:rPr>
        <w:t xml:space="preserve"> </w:t>
      </w:r>
      <w:r w:rsidRPr="00886B7C">
        <w:rPr>
          <w:sz w:val="22"/>
          <w:szCs w:val="22"/>
        </w:rPr>
        <w:tab/>
        <w:t xml:space="preserve">radiation despite phylogenetic, biogeographic, and paleogeographic uncertainty. </w:t>
      </w:r>
      <w:r w:rsidRPr="00886B7C">
        <w:rPr>
          <w:sz w:val="22"/>
          <w:szCs w:val="22"/>
        </w:rPr>
        <w:tab/>
      </w:r>
      <w:r w:rsidRPr="00886B7C">
        <w:rPr>
          <w:i/>
          <w:iCs/>
          <w:sz w:val="22"/>
          <w:szCs w:val="22"/>
        </w:rPr>
        <w:t>Evolution; international journal of organic evolution</w:t>
      </w:r>
      <w:r w:rsidRPr="00886B7C">
        <w:rPr>
          <w:sz w:val="22"/>
          <w:szCs w:val="22"/>
        </w:rPr>
        <w:t xml:space="preserve">, </w:t>
      </w:r>
      <w:r w:rsidRPr="00886B7C">
        <w:rPr>
          <w:i/>
          <w:iCs/>
          <w:sz w:val="22"/>
          <w:szCs w:val="22"/>
        </w:rPr>
        <w:t>72</w:t>
      </w:r>
      <w:r w:rsidRPr="00886B7C">
        <w:rPr>
          <w:sz w:val="22"/>
          <w:szCs w:val="22"/>
        </w:rPr>
        <w:t xml:space="preserve">(11), 2343–2359. </w:t>
      </w:r>
      <w:r w:rsidRPr="00886B7C">
        <w:rPr>
          <w:sz w:val="22"/>
          <w:szCs w:val="22"/>
        </w:rPr>
        <w:tab/>
      </w:r>
      <w:hyperlink r:id="rId11" w:history="1">
        <w:r w:rsidR="000D41B9" w:rsidRPr="00886B7C">
          <w:rPr>
            <w:rStyle w:val="Hyperlink"/>
            <w:sz w:val="22"/>
            <w:szCs w:val="22"/>
          </w:rPr>
          <w:t>https://doi.org/10.1111/evo.13594</w:t>
        </w:r>
      </w:hyperlink>
    </w:p>
    <w:p w14:paraId="782D6AC2" w14:textId="77777777" w:rsidR="00233C16" w:rsidRPr="00886B7C" w:rsidRDefault="00233C16" w:rsidP="00886B7C">
      <w:pPr>
        <w:spacing w:line="360" w:lineRule="auto"/>
        <w:rPr>
          <w:sz w:val="22"/>
          <w:szCs w:val="22"/>
        </w:rPr>
      </w:pPr>
      <w:r w:rsidRPr="00886B7C">
        <w:rPr>
          <w:sz w:val="22"/>
          <w:szCs w:val="22"/>
        </w:rPr>
        <w:t xml:space="preserve">Parham, J. F., Donoghue, P. C., Bell, C. J., Calway, T. D., Head, J. J., Holroyd, P. A., ... &amp; </w:t>
      </w:r>
      <w:r w:rsidRPr="00886B7C">
        <w:rPr>
          <w:sz w:val="22"/>
          <w:szCs w:val="22"/>
        </w:rPr>
        <w:tab/>
        <w:t xml:space="preserve">Benton, M. J. (2012). Best practices for justifying fossil calibrations. </w:t>
      </w:r>
      <w:r w:rsidRPr="00886B7C">
        <w:rPr>
          <w:i/>
          <w:iCs/>
          <w:sz w:val="22"/>
          <w:szCs w:val="22"/>
        </w:rPr>
        <w:t>Systematic Biology</w:t>
      </w:r>
      <w:r w:rsidRPr="00886B7C">
        <w:rPr>
          <w:sz w:val="22"/>
          <w:szCs w:val="22"/>
        </w:rPr>
        <w:t xml:space="preserve">, </w:t>
      </w:r>
      <w:r w:rsidRPr="00886B7C">
        <w:rPr>
          <w:sz w:val="22"/>
          <w:szCs w:val="22"/>
        </w:rPr>
        <w:tab/>
      </w:r>
      <w:r w:rsidRPr="00886B7C">
        <w:rPr>
          <w:i/>
          <w:iCs/>
          <w:sz w:val="22"/>
          <w:szCs w:val="22"/>
        </w:rPr>
        <w:t>61</w:t>
      </w:r>
      <w:r w:rsidRPr="00886B7C">
        <w:rPr>
          <w:sz w:val="22"/>
          <w:szCs w:val="22"/>
        </w:rPr>
        <w:t>(2), 346-359.</w:t>
      </w:r>
    </w:p>
    <w:p w14:paraId="016581F3" w14:textId="77777777" w:rsidR="003E2C1D" w:rsidRPr="00886B7C" w:rsidRDefault="003E2C1D" w:rsidP="00886B7C">
      <w:pPr>
        <w:spacing w:line="360" w:lineRule="auto"/>
        <w:rPr>
          <w:rStyle w:val="Hyperlink"/>
          <w:color w:val="auto"/>
          <w:sz w:val="22"/>
          <w:szCs w:val="22"/>
          <w:u w:val="none"/>
        </w:rPr>
      </w:pPr>
      <w:r w:rsidRPr="00886B7C">
        <w:rPr>
          <w:rStyle w:val="Hyperlink"/>
          <w:color w:val="auto"/>
          <w:sz w:val="22"/>
          <w:szCs w:val="22"/>
          <w:u w:val="none"/>
        </w:rPr>
        <w:t xml:space="preserve">Rambaut A., Drummond A.J., Xie D., Baele G. and Suchard M.A. (2018). Posterior </w:t>
      </w:r>
      <w:r w:rsidRPr="00886B7C">
        <w:rPr>
          <w:rStyle w:val="Hyperlink"/>
          <w:color w:val="auto"/>
          <w:sz w:val="22"/>
          <w:szCs w:val="22"/>
          <w:u w:val="none"/>
        </w:rPr>
        <w:tab/>
      </w:r>
      <w:proofErr w:type="spellStart"/>
      <w:r w:rsidRPr="00886B7C">
        <w:rPr>
          <w:rStyle w:val="Hyperlink"/>
          <w:color w:val="auto"/>
          <w:sz w:val="22"/>
          <w:szCs w:val="22"/>
          <w:u w:val="none"/>
        </w:rPr>
        <w:t>summarisation</w:t>
      </w:r>
      <w:proofErr w:type="spellEnd"/>
      <w:r w:rsidRPr="00886B7C">
        <w:rPr>
          <w:rStyle w:val="Hyperlink"/>
          <w:color w:val="auto"/>
          <w:sz w:val="22"/>
          <w:szCs w:val="22"/>
          <w:u w:val="none"/>
        </w:rPr>
        <w:t xml:space="preserve"> in Bayesian phylogenetics using Tracer 1.7. </w:t>
      </w:r>
      <w:r w:rsidRPr="00886B7C">
        <w:rPr>
          <w:rStyle w:val="Hyperlink"/>
          <w:i/>
          <w:iCs/>
          <w:color w:val="auto"/>
          <w:sz w:val="22"/>
          <w:szCs w:val="22"/>
          <w:u w:val="none"/>
        </w:rPr>
        <w:t>Systematic Biology</w:t>
      </w:r>
      <w:r w:rsidRPr="00886B7C">
        <w:rPr>
          <w:rStyle w:val="Hyperlink"/>
          <w:color w:val="auto"/>
          <w:sz w:val="22"/>
          <w:szCs w:val="22"/>
          <w:u w:val="none"/>
        </w:rPr>
        <w:t xml:space="preserve">. syy032. </w:t>
      </w:r>
      <w:r w:rsidRPr="00886B7C">
        <w:rPr>
          <w:rStyle w:val="Hyperlink"/>
          <w:color w:val="auto"/>
          <w:sz w:val="22"/>
          <w:szCs w:val="22"/>
          <w:u w:val="none"/>
        </w:rPr>
        <w:tab/>
        <w:t>doi:10.1093/</w:t>
      </w:r>
      <w:proofErr w:type="spellStart"/>
      <w:r w:rsidRPr="00886B7C">
        <w:rPr>
          <w:rStyle w:val="Hyperlink"/>
          <w:color w:val="auto"/>
          <w:sz w:val="22"/>
          <w:szCs w:val="22"/>
          <w:u w:val="none"/>
        </w:rPr>
        <w:t>sysbio</w:t>
      </w:r>
      <w:proofErr w:type="spellEnd"/>
      <w:r w:rsidRPr="00886B7C">
        <w:rPr>
          <w:rStyle w:val="Hyperlink"/>
          <w:color w:val="auto"/>
          <w:sz w:val="22"/>
          <w:szCs w:val="22"/>
          <w:u w:val="none"/>
        </w:rPr>
        <w:t>/syy032</w:t>
      </w:r>
    </w:p>
    <w:p w14:paraId="2E37094A" w14:textId="77777777" w:rsidR="000D41B9" w:rsidRPr="00886B7C" w:rsidRDefault="000D41B9" w:rsidP="00886B7C">
      <w:pPr>
        <w:spacing w:line="360" w:lineRule="auto"/>
        <w:rPr>
          <w:sz w:val="22"/>
          <w:szCs w:val="22"/>
        </w:rPr>
      </w:pPr>
      <w:r w:rsidRPr="00886B7C">
        <w:rPr>
          <w:sz w:val="22"/>
          <w:szCs w:val="22"/>
        </w:rPr>
        <w:t xml:space="preserve">Rieux, A., &amp; </w:t>
      </w:r>
      <w:proofErr w:type="spellStart"/>
      <w:r w:rsidRPr="00886B7C">
        <w:rPr>
          <w:sz w:val="22"/>
          <w:szCs w:val="22"/>
        </w:rPr>
        <w:t>Balloux</w:t>
      </w:r>
      <w:proofErr w:type="spellEnd"/>
      <w:r w:rsidRPr="00886B7C">
        <w:rPr>
          <w:sz w:val="22"/>
          <w:szCs w:val="22"/>
        </w:rPr>
        <w:t xml:space="preserve">, F. (2016). Inferences from tip-calibrated phylogenies: a review and a </w:t>
      </w:r>
      <w:r w:rsidRPr="00886B7C">
        <w:rPr>
          <w:sz w:val="22"/>
          <w:szCs w:val="22"/>
        </w:rPr>
        <w:tab/>
        <w:t xml:space="preserve">practical guide. </w:t>
      </w:r>
      <w:r w:rsidRPr="00886B7C">
        <w:rPr>
          <w:i/>
          <w:iCs/>
          <w:sz w:val="22"/>
          <w:szCs w:val="22"/>
        </w:rPr>
        <w:t>Molecular ecology</w:t>
      </w:r>
      <w:r w:rsidRPr="00886B7C">
        <w:rPr>
          <w:sz w:val="22"/>
          <w:szCs w:val="22"/>
        </w:rPr>
        <w:t xml:space="preserve">, </w:t>
      </w:r>
      <w:r w:rsidRPr="00886B7C">
        <w:rPr>
          <w:i/>
          <w:iCs/>
          <w:sz w:val="22"/>
          <w:szCs w:val="22"/>
        </w:rPr>
        <w:t>25</w:t>
      </w:r>
      <w:r w:rsidRPr="00886B7C">
        <w:rPr>
          <w:sz w:val="22"/>
          <w:szCs w:val="22"/>
        </w:rPr>
        <w:t xml:space="preserve">(9), 1911–1924. </w:t>
      </w:r>
      <w:hyperlink r:id="rId12" w:history="1">
        <w:r w:rsidR="00233C16" w:rsidRPr="00886B7C">
          <w:rPr>
            <w:rStyle w:val="Hyperlink"/>
            <w:sz w:val="22"/>
            <w:szCs w:val="22"/>
          </w:rPr>
          <w:t>https://doi.org/10.1111/mec.13586</w:t>
        </w:r>
      </w:hyperlink>
    </w:p>
    <w:p w14:paraId="106C36B3" w14:textId="77777777" w:rsidR="00770D48" w:rsidRPr="00886B7C" w:rsidRDefault="00770D48" w:rsidP="00886B7C">
      <w:pPr>
        <w:spacing w:line="360" w:lineRule="auto"/>
        <w:rPr>
          <w:sz w:val="22"/>
          <w:szCs w:val="22"/>
        </w:rPr>
      </w:pPr>
      <w:r w:rsidRPr="00886B7C">
        <w:rPr>
          <w:sz w:val="22"/>
          <w:szCs w:val="22"/>
        </w:rPr>
        <w:t xml:space="preserve">Salomé, P. A., </w:t>
      </w:r>
      <w:proofErr w:type="spellStart"/>
      <w:r w:rsidRPr="00886B7C">
        <w:rPr>
          <w:sz w:val="22"/>
          <w:szCs w:val="22"/>
        </w:rPr>
        <w:t>Bomblies</w:t>
      </w:r>
      <w:proofErr w:type="spellEnd"/>
      <w:r w:rsidRPr="00886B7C">
        <w:rPr>
          <w:sz w:val="22"/>
          <w:szCs w:val="22"/>
        </w:rPr>
        <w:t xml:space="preserve">, K., Fitz, J., Laitinen, R. A., </w:t>
      </w:r>
      <w:proofErr w:type="spellStart"/>
      <w:r w:rsidRPr="00886B7C">
        <w:rPr>
          <w:sz w:val="22"/>
          <w:szCs w:val="22"/>
        </w:rPr>
        <w:t>Warthmann</w:t>
      </w:r>
      <w:proofErr w:type="spellEnd"/>
      <w:r w:rsidRPr="00886B7C">
        <w:rPr>
          <w:sz w:val="22"/>
          <w:szCs w:val="22"/>
        </w:rPr>
        <w:t xml:space="preserve">, N., Yant, L., &amp; Weigel, D. </w:t>
      </w:r>
      <w:r w:rsidRPr="00886B7C">
        <w:rPr>
          <w:sz w:val="22"/>
          <w:szCs w:val="22"/>
        </w:rPr>
        <w:tab/>
        <w:t xml:space="preserve">(2012). The recombination landscape in Arabidopsis thaliana F2 populations. </w:t>
      </w:r>
      <w:r w:rsidRPr="00886B7C">
        <w:rPr>
          <w:i/>
          <w:iCs/>
          <w:sz w:val="22"/>
          <w:szCs w:val="22"/>
        </w:rPr>
        <w:t>Heredity</w:t>
      </w:r>
      <w:r w:rsidRPr="00886B7C">
        <w:rPr>
          <w:sz w:val="22"/>
          <w:szCs w:val="22"/>
        </w:rPr>
        <w:t xml:space="preserve">, </w:t>
      </w:r>
      <w:r w:rsidRPr="00886B7C">
        <w:rPr>
          <w:sz w:val="22"/>
          <w:szCs w:val="22"/>
        </w:rPr>
        <w:tab/>
      </w:r>
      <w:r w:rsidRPr="00886B7C">
        <w:rPr>
          <w:i/>
          <w:iCs/>
          <w:sz w:val="22"/>
          <w:szCs w:val="22"/>
        </w:rPr>
        <w:t>108</w:t>
      </w:r>
      <w:r w:rsidRPr="00886B7C">
        <w:rPr>
          <w:sz w:val="22"/>
          <w:szCs w:val="22"/>
        </w:rPr>
        <w:t xml:space="preserve">(4), 447–455. </w:t>
      </w:r>
      <w:hyperlink r:id="rId13" w:history="1">
        <w:r w:rsidR="007E6329" w:rsidRPr="00886B7C">
          <w:rPr>
            <w:rStyle w:val="Hyperlink"/>
            <w:sz w:val="22"/>
            <w:szCs w:val="22"/>
          </w:rPr>
          <w:t>https://doi.org/10.1038/hdy.2011.95</w:t>
        </w:r>
      </w:hyperlink>
    </w:p>
    <w:p w14:paraId="227B35B4" w14:textId="77777777" w:rsidR="007E6329" w:rsidRPr="00886B7C" w:rsidRDefault="007E6329" w:rsidP="00886B7C">
      <w:pPr>
        <w:spacing w:line="360" w:lineRule="auto"/>
        <w:rPr>
          <w:sz w:val="22"/>
          <w:szCs w:val="22"/>
        </w:rPr>
      </w:pPr>
      <w:r w:rsidRPr="00886B7C">
        <w:rPr>
          <w:sz w:val="22"/>
          <w:szCs w:val="22"/>
        </w:rPr>
        <w:lastRenderedPageBreak/>
        <w:t xml:space="preserve">Suchard M.A., </w:t>
      </w:r>
      <w:proofErr w:type="spellStart"/>
      <w:r w:rsidRPr="00886B7C">
        <w:rPr>
          <w:sz w:val="22"/>
          <w:szCs w:val="22"/>
        </w:rPr>
        <w:t>Lemey</w:t>
      </w:r>
      <w:proofErr w:type="spellEnd"/>
      <w:r w:rsidRPr="00886B7C">
        <w:rPr>
          <w:sz w:val="22"/>
          <w:szCs w:val="22"/>
        </w:rPr>
        <w:t xml:space="preserve"> P., Baele G., Ayres D.L., Drummond A.J. &amp; Rambaut A. (2018). </w:t>
      </w:r>
      <w:r w:rsidRPr="00886B7C">
        <w:rPr>
          <w:sz w:val="22"/>
          <w:szCs w:val="22"/>
        </w:rPr>
        <w:tab/>
        <w:t xml:space="preserve">Bayesian phylogenetic and phylodynamic data integration using BEAST 1.10. </w:t>
      </w:r>
      <w:r w:rsidRPr="00886B7C">
        <w:rPr>
          <w:i/>
          <w:iCs/>
          <w:sz w:val="22"/>
          <w:szCs w:val="22"/>
        </w:rPr>
        <w:t>Virus</w:t>
      </w:r>
      <w:r w:rsidRPr="00886B7C">
        <w:rPr>
          <w:sz w:val="22"/>
          <w:szCs w:val="22"/>
        </w:rPr>
        <w:t xml:space="preserve"> </w:t>
      </w:r>
      <w:r w:rsidRPr="00886B7C">
        <w:rPr>
          <w:sz w:val="22"/>
          <w:szCs w:val="22"/>
        </w:rPr>
        <w:tab/>
      </w:r>
      <w:r w:rsidRPr="00886B7C">
        <w:rPr>
          <w:i/>
          <w:iCs/>
          <w:sz w:val="22"/>
          <w:szCs w:val="22"/>
        </w:rPr>
        <w:t>Evolution</w:t>
      </w:r>
      <w:r w:rsidRPr="00886B7C">
        <w:rPr>
          <w:sz w:val="22"/>
          <w:szCs w:val="22"/>
        </w:rPr>
        <w:t xml:space="preserve">, </w:t>
      </w:r>
      <w:r w:rsidRPr="00886B7C">
        <w:rPr>
          <w:i/>
          <w:iCs/>
          <w:sz w:val="22"/>
          <w:szCs w:val="22"/>
        </w:rPr>
        <w:t>4</w:t>
      </w:r>
      <w:r w:rsidRPr="00886B7C">
        <w:rPr>
          <w:sz w:val="22"/>
          <w:szCs w:val="22"/>
        </w:rPr>
        <w:t>, vey016. DOI:10.1093/</w:t>
      </w:r>
      <w:proofErr w:type="spellStart"/>
      <w:r w:rsidRPr="00886B7C">
        <w:rPr>
          <w:sz w:val="22"/>
          <w:szCs w:val="22"/>
        </w:rPr>
        <w:t>ve</w:t>
      </w:r>
      <w:proofErr w:type="spellEnd"/>
      <w:r w:rsidRPr="00886B7C">
        <w:rPr>
          <w:sz w:val="22"/>
          <w:szCs w:val="22"/>
        </w:rPr>
        <w:t>/vey016</w:t>
      </w:r>
    </w:p>
    <w:p w14:paraId="6BC7ECDA" w14:textId="77777777" w:rsidR="00233C16" w:rsidRPr="00886B7C" w:rsidRDefault="00233C16" w:rsidP="00886B7C">
      <w:pPr>
        <w:spacing w:line="360" w:lineRule="auto"/>
        <w:rPr>
          <w:sz w:val="22"/>
          <w:szCs w:val="22"/>
        </w:rPr>
      </w:pPr>
    </w:p>
    <w:sectPr w:rsidR="00233C16" w:rsidRPr="00886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47905"/>
    <w:multiLevelType w:val="multilevel"/>
    <w:tmpl w:val="2C42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61BE9"/>
    <w:multiLevelType w:val="hybridMultilevel"/>
    <w:tmpl w:val="046A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205007">
    <w:abstractNumId w:val="0"/>
  </w:num>
  <w:num w:numId="2" w16cid:durableId="1447853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BA"/>
    <w:rsid w:val="000149C0"/>
    <w:rsid w:val="000228E8"/>
    <w:rsid w:val="00034BB5"/>
    <w:rsid w:val="000A7270"/>
    <w:rsid w:val="000C0D9C"/>
    <w:rsid w:val="000D41B9"/>
    <w:rsid w:val="000F3501"/>
    <w:rsid w:val="001026F0"/>
    <w:rsid w:val="00122814"/>
    <w:rsid w:val="00131287"/>
    <w:rsid w:val="001508AA"/>
    <w:rsid w:val="0016515A"/>
    <w:rsid w:val="001948BD"/>
    <w:rsid w:val="001C56B8"/>
    <w:rsid w:val="001D68D3"/>
    <w:rsid w:val="001E6751"/>
    <w:rsid w:val="002052CE"/>
    <w:rsid w:val="002278A1"/>
    <w:rsid w:val="00233C16"/>
    <w:rsid w:val="00233F32"/>
    <w:rsid w:val="00273E89"/>
    <w:rsid w:val="0028650C"/>
    <w:rsid w:val="002C375B"/>
    <w:rsid w:val="002F75BA"/>
    <w:rsid w:val="00302DB5"/>
    <w:rsid w:val="00314FAA"/>
    <w:rsid w:val="00316EFE"/>
    <w:rsid w:val="0032622D"/>
    <w:rsid w:val="003479B0"/>
    <w:rsid w:val="003E2C1D"/>
    <w:rsid w:val="004125AB"/>
    <w:rsid w:val="0045037D"/>
    <w:rsid w:val="00452E24"/>
    <w:rsid w:val="004635D3"/>
    <w:rsid w:val="0048119C"/>
    <w:rsid w:val="0049068F"/>
    <w:rsid w:val="00490B38"/>
    <w:rsid w:val="00495A79"/>
    <w:rsid w:val="004A0023"/>
    <w:rsid w:val="004A3EE5"/>
    <w:rsid w:val="004B1853"/>
    <w:rsid w:val="004D584E"/>
    <w:rsid w:val="004E6897"/>
    <w:rsid w:val="00501514"/>
    <w:rsid w:val="00541D7A"/>
    <w:rsid w:val="00567D3B"/>
    <w:rsid w:val="00586D67"/>
    <w:rsid w:val="005A29FC"/>
    <w:rsid w:val="00632DF9"/>
    <w:rsid w:val="00687C0A"/>
    <w:rsid w:val="00701475"/>
    <w:rsid w:val="00731D09"/>
    <w:rsid w:val="0073681D"/>
    <w:rsid w:val="00770D48"/>
    <w:rsid w:val="0078589F"/>
    <w:rsid w:val="00790791"/>
    <w:rsid w:val="00795AAC"/>
    <w:rsid w:val="0079614F"/>
    <w:rsid w:val="007A1198"/>
    <w:rsid w:val="007A4C02"/>
    <w:rsid w:val="007C5167"/>
    <w:rsid w:val="007D374C"/>
    <w:rsid w:val="007E6329"/>
    <w:rsid w:val="008236F3"/>
    <w:rsid w:val="00832D1B"/>
    <w:rsid w:val="008467D2"/>
    <w:rsid w:val="00886B7C"/>
    <w:rsid w:val="0094003E"/>
    <w:rsid w:val="009535AB"/>
    <w:rsid w:val="00A06E09"/>
    <w:rsid w:val="00A12E11"/>
    <w:rsid w:val="00AD02DF"/>
    <w:rsid w:val="00AE5957"/>
    <w:rsid w:val="00B06AE1"/>
    <w:rsid w:val="00B23A84"/>
    <w:rsid w:val="00B32C71"/>
    <w:rsid w:val="00B36EAD"/>
    <w:rsid w:val="00B60A1C"/>
    <w:rsid w:val="00B768A9"/>
    <w:rsid w:val="00BB5510"/>
    <w:rsid w:val="00C10BE3"/>
    <w:rsid w:val="00CC5B51"/>
    <w:rsid w:val="00D12413"/>
    <w:rsid w:val="00D17DF2"/>
    <w:rsid w:val="00D41089"/>
    <w:rsid w:val="00D74EBC"/>
    <w:rsid w:val="00D757BF"/>
    <w:rsid w:val="00D96241"/>
    <w:rsid w:val="00DD2702"/>
    <w:rsid w:val="00DE6102"/>
    <w:rsid w:val="00E05287"/>
    <w:rsid w:val="00E27E15"/>
    <w:rsid w:val="00EF3DBA"/>
    <w:rsid w:val="00F20FB5"/>
    <w:rsid w:val="00F26290"/>
    <w:rsid w:val="00FE3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6615"/>
  <w15:chartTrackingRefBased/>
  <w15:docId w15:val="{DC6BCFBC-3D14-AA4C-B42C-2A0C2FE1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BB5"/>
    <w:rPr>
      <w:rFonts w:ascii="Times New Roman" w:eastAsia="Times New Roman" w:hAnsi="Times New Roman" w:cs="Times New Roman"/>
    </w:rPr>
  </w:style>
  <w:style w:type="paragraph" w:styleId="Heading1">
    <w:name w:val="heading 1"/>
    <w:basedOn w:val="Normal"/>
    <w:next w:val="Normal"/>
    <w:link w:val="Heading1Char"/>
    <w:uiPriority w:val="9"/>
    <w:qFormat/>
    <w:rsid w:val="00314FA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BB5"/>
    <w:rPr>
      <w:color w:val="0563C1" w:themeColor="hyperlink"/>
      <w:u w:val="single"/>
    </w:rPr>
  </w:style>
  <w:style w:type="character" w:styleId="UnresolvedMention">
    <w:name w:val="Unresolved Mention"/>
    <w:basedOn w:val="DefaultParagraphFont"/>
    <w:uiPriority w:val="99"/>
    <w:semiHidden/>
    <w:unhideWhenUsed/>
    <w:rsid w:val="00034BB5"/>
    <w:rPr>
      <w:color w:val="605E5C"/>
      <w:shd w:val="clear" w:color="auto" w:fill="E1DFDD"/>
    </w:rPr>
  </w:style>
  <w:style w:type="paragraph" w:styleId="ListParagraph">
    <w:name w:val="List Paragraph"/>
    <w:basedOn w:val="Normal"/>
    <w:uiPriority w:val="34"/>
    <w:qFormat/>
    <w:rsid w:val="0079614F"/>
    <w:pPr>
      <w:ind w:left="720"/>
      <w:contextualSpacing/>
    </w:pPr>
  </w:style>
  <w:style w:type="paragraph" w:styleId="Title">
    <w:name w:val="Title"/>
    <w:basedOn w:val="Normal"/>
    <w:next w:val="Normal"/>
    <w:link w:val="TitleChar"/>
    <w:uiPriority w:val="10"/>
    <w:qFormat/>
    <w:rsid w:val="00314FA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F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4FAA"/>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886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299">
      <w:bodyDiv w:val="1"/>
      <w:marLeft w:val="0"/>
      <w:marRight w:val="0"/>
      <w:marTop w:val="0"/>
      <w:marBottom w:val="0"/>
      <w:divBdr>
        <w:top w:val="none" w:sz="0" w:space="0" w:color="auto"/>
        <w:left w:val="none" w:sz="0" w:space="0" w:color="auto"/>
        <w:bottom w:val="none" w:sz="0" w:space="0" w:color="auto"/>
        <w:right w:val="none" w:sz="0" w:space="0" w:color="auto"/>
      </w:divBdr>
    </w:div>
    <w:div w:id="273951756">
      <w:bodyDiv w:val="1"/>
      <w:marLeft w:val="0"/>
      <w:marRight w:val="0"/>
      <w:marTop w:val="0"/>
      <w:marBottom w:val="0"/>
      <w:divBdr>
        <w:top w:val="none" w:sz="0" w:space="0" w:color="auto"/>
        <w:left w:val="none" w:sz="0" w:space="0" w:color="auto"/>
        <w:bottom w:val="none" w:sz="0" w:space="0" w:color="auto"/>
        <w:right w:val="none" w:sz="0" w:space="0" w:color="auto"/>
      </w:divBdr>
    </w:div>
    <w:div w:id="513155054">
      <w:bodyDiv w:val="1"/>
      <w:marLeft w:val="0"/>
      <w:marRight w:val="0"/>
      <w:marTop w:val="0"/>
      <w:marBottom w:val="0"/>
      <w:divBdr>
        <w:top w:val="none" w:sz="0" w:space="0" w:color="auto"/>
        <w:left w:val="none" w:sz="0" w:space="0" w:color="auto"/>
        <w:bottom w:val="none" w:sz="0" w:space="0" w:color="auto"/>
        <w:right w:val="none" w:sz="0" w:space="0" w:color="auto"/>
      </w:divBdr>
    </w:div>
    <w:div w:id="212075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8/rspb.2012.0683" TargetMode="External"/><Relationship Id="rId13" Type="http://schemas.openxmlformats.org/officeDocument/2006/relationships/hyperlink" Target="https://doi.org/10.1038/hdy.2011.95" TargetMode="External"/><Relationship Id="rId3" Type="http://schemas.openxmlformats.org/officeDocument/2006/relationships/settings" Target="settings.xml"/><Relationship Id="rId7" Type="http://schemas.openxmlformats.org/officeDocument/2006/relationships/hyperlink" Target="https://doi.org/10.1007/s40656-023-00580-9" TargetMode="External"/><Relationship Id="rId12" Type="http://schemas.openxmlformats.org/officeDocument/2006/relationships/hyperlink" Target="https://doi.org/10.1111/mec.135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2/ajb2.16306" TargetMode="External"/><Relationship Id="rId11" Type="http://schemas.openxmlformats.org/officeDocument/2006/relationships/hyperlink" Target="https://doi.org/10.1111/evo.13594" TargetMode="External"/><Relationship Id="rId5" Type="http://schemas.openxmlformats.org/officeDocument/2006/relationships/hyperlink" Target="https://doi.org/10.1093/genetics/iyab229" TargetMode="External"/><Relationship Id="rId15" Type="http://schemas.openxmlformats.org/officeDocument/2006/relationships/theme" Target="theme/theme1.xml"/><Relationship Id="rId10" Type="http://schemas.openxmlformats.org/officeDocument/2006/relationships/hyperlink" Target="https://doi.org/10.1093/sysbio/syw021" TargetMode="External"/><Relationship Id="rId4" Type="http://schemas.openxmlformats.org/officeDocument/2006/relationships/webSettings" Target="webSettings.xml"/><Relationship Id="rId9" Type="http://schemas.openxmlformats.org/officeDocument/2006/relationships/hyperlink" Target="https://doi.org/10.1371/journal.pone.016290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Sparreo</dc:creator>
  <cp:keywords/>
  <dc:description/>
  <cp:lastModifiedBy>Ana Maria Bedoya</cp:lastModifiedBy>
  <cp:revision>2</cp:revision>
  <dcterms:created xsi:type="dcterms:W3CDTF">2025-04-15T13:42:00Z</dcterms:created>
  <dcterms:modified xsi:type="dcterms:W3CDTF">2025-04-15T13:42:00Z</dcterms:modified>
</cp:coreProperties>
</file>