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 w:eastAsia="Segoe UI" w:cs="Segoe UI"/>
          <w:b/>
          <w:i w:val="0"/>
          <w:color w:val="002060"/>
          <w:sz w:val="40"/>
        </w:rPr>
        <w:t>BOARD MEMORANDUM</w:t>
      </w:r>
    </w:p>
    <w:p>
      <w:pPr>
        <w:pBdr>
          <w:bottom w:val="single" w:sz="12" w:space="1" w:color="FC713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776"/>
      </w:tblGrid>
      <w:tr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/>
                <w:i w:val="0"/>
                <w:color w:val="002060"/>
                <w:sz w:val="22"/>
              </w:rPr>
              <w:t>TO:</w:t>
            </w:r>
          </w:p>
        </w:tc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2"/>
              </w:rPr>
              <w:t>Board of Directors, NextDecade Corporation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/>
                <w:i w:val="0"/>
                <w:color w:val="002060"/>
                <w:sz w:val="22"/>
              </w:rPr>
              <w:t>FROM:</w:t>
            </w:r>
          </w:p>
        </w:tc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2"/>
              </w:rPr>
              <w:t>Matt Schatzman, Chairman and Chief Executive Officer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/>
                <w:i w:val="0"/>
                <w:color w:val="002060"/>
                <w:sz w:val="22"/>
              </w:rPr>
              <w:t>DATE:</w:t>
            </w:r>
          </w:p>
        </w:tc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2"/>
              </w:rPr>
              <w:t>April 15, 2026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/>
                <w:i w:val="0"/>
                <w:color w:val="002060"/>
                <w:sz w:val="22"/>
              </w:rPr>
              <w:t>SUBJECT:</w:t>
            </w:r>
          </w:p>
        </w:tc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2"/>
              </w:rPr>
              <w:t>Q1 2026 Rio Grande LNG Construction Progress and Phase 2 FID Readiness</w:t>
            </w:r>
          </w:p>
        </w:tc>
      </w:tr>
    </w:tbl>
    <w:p>
      <w:pPr>
        <w:pBdr>
          <w:bottom w:val="single" w:sz="12" w:space="1" w:color="002060"/>
        </w:pBdr>
      </w:pP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Executive Summary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Rio Grande LNG Phase 1 construction advanced to 68% complete through March 31, 2026, consistent with the schedule presented to the Board at the February 2026 meeting. First LNG remains targeted for the second half of 2027. The Phase 2 Final Investment Decision package is on track for Board consideration in the third quarter of 2026. No material safety events occurred during the quarter.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Construction Status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Engineering is 99% complete. Procurement is 88% complete with all long-lead equipment on site or in transit. Construction is 52% complete across Trains 1, 2, and 3. The liquefaction cold box for Train 1 was set during the quarter without incident; commissioning of the non-cryogenic utilities is scheduled to begin in July 2026.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Commercial and Regulatory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Long-term SPAs for Phase 2 volumes are progressing with three investment-grade counterparties. The FERC authorization for Phase 2 remains in effect; the Department of Energy non-FTA export authorization is expected to be confirmed in the second quarter of 2026. There have been no changes in the regulatory posture previously disclosed to the Board.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Financial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Phase 1 remains on budget at $18.4 billion. As of March 31, 2026, total project spend was $9.8 billion, funded from the project debt facility ($6.2B), committed equity ($3.0B), and the corporate revolver ($0.6B). The Company's liquidity position provides adequate headroom through first LNG.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Safety and HSSE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The site recorded 3.1 million construction hours in the quarter with a Total Recordable Incident Rate of 0.42, below the industry benchmark of 0.65. No Life-Saving Rule violations were recorded. One near-miss event related to hot work (HW-2026-0143, April 14) was investigated; corrective actions are complete and will be discussed in the HSSE Committee pre-read.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Phase 2 Readiness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Management recommends the Board direct the preparation of a formal Phase 2 FID package for consideration at the August 2026 meeting. Items that must be resolved prior to FID include: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Final SPA execution with the three anchor offtakers.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Phase 2 debt facility commitment letters.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Updated EPC cost certainty from the primary contractor.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Confirmation of Phase 2 incremental equity funding.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Board-level review of community and stakeholder engagement metrics in the Rio Grande Valley.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Recommended Board Action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The Board is asked to (i) acknowledge receipt of this report, (ii) authorize management to prepare the Phase 2 FID package for the August 2026 meeting, and (iii) direct the HSSE Committee to review the HW-2026-0143 corrective action plan at its May 2026 session.</w:t>
      </w:r>
    </w:p>
    <w:p/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Respectfully submitted,</w:t>
      </w:r>
    </w:p>
    <w:p/>
    <w:p/>
    <w:p>
      <w:r>
        <w:rPr>
          <w:rFonts w:ascii="Segoe UI" w:hAnsi="Segoe UI" w:eastAsia="Segoe UI" w:cs="Segoe UI"/>
          <w:b/>
          <w:i w:val="0"/>
          <w:color w:val="002060"/>
          <w:sz w:val="22"/>
        </w:rPr>
        <w:t>Matt Schatzman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Chairman and Chief Executive Officer, NextDecade Corporation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 w:val="0"/>
        <w:i/>
        <w:color w:val="595959"/>
        <w:sz w:val="16"/>
      </w:rPr>
      <w:t>NextDecade Corporation (NextDecade) is committed to providing the world access to lower carbon intensive energy through Rio Grande LNG &amp; NEXT Carbon Solutions.</w:t>
    </w:r>
  </w:p>
  <w:p>
    <w:pPr>
      <w:jc w:val="center"/>
    </w:pPr>
    <w:r>
      <w:rPr>
        <w:rFonts w:ascii="Segoe UI" w:hAnsi="Segoe UI" w:eastAsia="Segoe UI" w:cs="Segoe UI"/>
        <w:b w:val="0"/>
        <w:i w:val="0"/>
        <w:color w:val="595959"/>
        <w:sz w:val="14"/>
      </w:rPr>
      <w:t>Confidential and Proprietary - This document is intended solely for internal use. Unauthorized disclosure, distribution, or reproduction is strictly prohibited. Content is preliminary and subject to revision.</w:t>
    </w:r>
  </w:p>
  <w:p>
    <w:pPr>
      <w:jc w:val="center"/>
    </w:pPr>
    <w:r>
      <w:rPr>
        <w:rFonts w:ascii="Segoe UI" w:hAnsi="Segoe UI" w:eastAsia="Segoe UI" w:cs="Segoe UI"/>
        <w:b w:val="0"/>
        <w:i w:val="0"/>
        <w:color w:val="595959"/>
        <w:sz w:val="16"/>
      </w:rPr>
      <w:t xml:space="preserve">Page </w:t>
    </w:r>
    <w:r>
      <w:fldChar w:fldCharType="begin"/>
      <w:instrText xml:space="preserve"> PAGE </w:instrText>
      <w:fldChar w:fldCharType="end"/>
    </w:r>
    <w:r>
      <w:rPr>
        <w:rFonts w:ascii="Segoe UI" w:hAnsi="Segoe UI" w:eastAsia="Segoe UI" w:cs="Segoe UI"/>
        <w:b w:val="0"/>
        <w:i w:val="0"/>
        <w:color w:val="595959"/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Segoe UI" w:hAnsi="Segoe UI" w:eastAsia="Segoe UI" w:cs="Segoe UI"/>
        <w:b/>
        <w:i w:val="0"/>
        <w:color w:val="002060"/>
        <w:sz w:val="18"/>
      </w:rPr>
      <w:t>NextDecade Corporation</w:t>
    </w:r>
    <w:r>
      <w:rPr>
        <w:rFonts w:ascii="Segoe UI" w:hAnsi="Segoe UI" w:eastAsia="Segoe UI" w:cs="Segoe UI"/>
        <w:b w:val="0"/>
        <w:i w:val="0"/>
        <w:color w:val="595959"/>
        <w:sz w:val="18"/>
      </w:rPr>
      <w:tab/>
      <w:t>Board Memorandum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 w:cs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