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 w:eastAsia="Segoe UI" w:cs="Segoe UI"/>
          <w:b/>
          <w:i w:val="0"/>
          <w:color w:val="FC7134"/>
          <w:sz w:val="20"/>
        </w:rPr>
        <w:t>OFFICE OF THE CEO</w:t>
      </w:r>
    </w:p>
    <w:p>
      <w:r>
        <w:rPr>
          <w:rFonts w:ascii="Segoe UI" w:hAnsi="Segoe UI" w:eastAsia="Segoe UI" w:cs="Segoe UI"/>
          <w:b/>
          <w:i w:val="0"/>
          <w:color w:val="002060"/>
          <w:sz w:val="20"/>
        </w:rPr>
        <w:t>From:</w:t>
      </w:r>
      <w:r>
        <w:rPr>
          <w:rFonts w:ascii="Segoe UI" w:hAnsi="Segoe UI" w:eastAsia="Segoe UI" w:cs="Segoe UI"/>
          <w:b w:val="0"/>
          <w:i w:val="0"/>
          <w:color w:val="000000"/>
          <w:sz w:val="20"/>
        </w:rPr>
        <w:t xml:space="preserve">  Matt Schatzman &lt;matt.schatzman@next-decade.com&gt;</w:t>
      </w:r>
    </w:p>
    <w:p>
      <w:r>
        <w:rPr>
          <w:rFonts w:ascii="Segoe UI" w:hAnsi="Segoe UI" w:eastAsia="Segoe UI" w:cs="Segoe UI"/>
          <w:b/>
          <w:i w:val="0"/>
          <w:color w:val="002060"/>
          <w:sz w:val="20"/>
        </w:rPr>
        <w:t>To:</w:t>
      </w:r>
      <w:r>
        <w:rPr>
          <w:rFonts w:ascii="Segoe UI" w:hAnsi="Segoe UI" w:eastAsia="Segoe UI" w:cs="Segoe UI"/>
          <w:b w:val="0"/>
          <w:i w:val="0"/>
          <w:color w:val="000000"/>
          <w:sz w:val="20"/>
        </w:rPr>
        <w:t xml:space="preserve">  All NextDecade &lt;allnextdecade@next-decade.com&gt;</w:t>
      </w:r>
    </w:p>
    <w:p>
      <w:r>
        <w:rPr>
          <w:rFonts w:ascii="Segoe UI" w:hAnsi="Segoe UI" w:eastAsia="Segoe UI" w:cs="Segoe UI"/>
          <w:b/>
          <w:i w:val="0"/>
          <w:color w:val="002060"/>
          <w:sz w:val="20"/>
        </w:rPr>
        <w:t>Sent:</w:t>
      </w:r>
      <w:r>
        <w:rPr>
          <w:rFonts w:ascii="Segoe UI" w:hAnsi="Segoe UI" w:eastAsia="Segoe UI" w:cs="Segoe UI"/>
          <w:b w:val="0"/>
          <w:i w:val="0"/>
          <w:color w:val="000000"/>
          <w:sz w:val="20"/>
        </w:rPr>
        <w:t xml:space="preserve">  April 15, 2026  3:30 p.m. Central</w:t>
      </w:r>
    </w:p>
    <w:p>
      <w:r>
        <w:rPr>
          <w:rFonts w:ascii="Segoe UI" w:hAnsi="Segoe UI" w:eastAsia="Segoe UI" w:cs="Segoe UI"/>
          <w:b/>
          <w:i w:val="0"/>
          <w:color w:val="002060"/>
          <w:sz w:val="20"/>
        </w:rPr>
        <w:t>Subject:</w:t>
      </w:r>
      <w:r>
        <w:rPr>
          <w:rFonts w:ascii="Segoe UI" w:hAnsi="Segoe UI" w:eastAsia="Segoe UI" w:cs="Segoe UI"/>
          <w:b w:val="0"/>
          <w:i w:val="0"/>
          <w:color w:val="000000"/>
          <w:sz w:val="20"/>
        </w:rPr>
        <w:t xml:space="preserve">  Q1 check-in - 68%, safety, and what's next</w:t>
      </w:r>
    </w:p>
    <w:p>
      <w:pPr>
        <w:pBdr>
          <w:bottom w:val="single" w:sz="12" w:space="1" w:color="002060"/>
        </w:pBdr>
      </w:pP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Team,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Quick update as we close out Q1 2026. Rio Grande LNG Phase 1 is now 68% complete. That's a real milestone, and it's because of the work every one of you is doing. Thank you.</w:t>
      </w:r>
    </w:p>
    <w:p>
      <w:pPr>
        <w:pStyle w:val="Heading3"/>
      </w:pPr>
      <w:r>
        <w:rPr>
          <w:rFonts w:ascii="Segoe UI" w:hAnsi="Segoe UI" w:eastAsia="Segoe UI" w:cs="Segoe UI"/>
          <w:b/>
          <w:i w:val="0"/>
          <w:color w:val="002060"/>
          <w:sz w:val="26"/>
        </w:rPr>
        <w:t>Where we are on construction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Engineering is basically done (99%). Procurement is almost there (88%). Construction is 52% across all three trains. The Train 1 cold box went up this quarter without incident - nothing routine about that, and it's a huge win for the commissioning team.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First LNG is still on track for the second half of 2027. We're going to keep that commitment.</w:t>
      </w:r>
    </w:p>
    <w:p>
      <w:pPr>
        <w:pStyle w:val="Heading3"/>
      </w:pPr>
      <w:r>
        <w:rPr>
          <w:rFonts w:ascii="Segoe UI" w:hAnsi="Segoe UI" w:eastAsia="Segoe UI" w:cs="Segoe UI"/>
          <w:b/>
          <w:i w:val="0"/>
          <w:color w:val="002060"/>
          <w:sz w:val="26"/>
        </w:rPr>
        <w:t>Safety - we're doing well, and we can do better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Our TRIR for the quarter was 0.42, better than the industry benchmark of 0.65. That's great, and we want to keep it that way.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We had a hot-work near-miss on April 14 - HW-2026-0143. Nobody was hurt, but a fire watch was relieved without a formal handoff. We've already closed that gap in our procedure. The reminder: every permit, every handoff, every time. If something doesn't feel right, stop work.</w:t>
      </w:r>
    </w:p>
    <w:p>
      <w:pPr>
        <w:pStyle w:val="Heading3"/>
      </w:pPr>
      <w:r>
        <w:rPr>
          <w:rFonts w:ascii="Segoe UI" w:hAnsi="Segoe UI" w:eastAsia="Segoe UI" w:cs="Segoe UI"/>
          <w:b/>
          <w:i w:val="0"/>
          <w:color w:val="002060"/>
          <w:sz w:val="26"/>
        </w:rPr>
        <w:t>What's next - Phase 2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Our Commercial team is advancing three long-term SPAs with investment-grade counterparties. Our FERC authorization is in place. We're targeting a Phase 2 Final Investment Decision in the second half of this year. That's a big deal for this company and for the Rio Grande Valley.</w:t>
      </w:r>
    </w:p>
    <w:p>
      <w:pPr>
        <w:pStyle w:val="Heading3"/>
      </w:pPr>
      <w:r>
        <w:rPr>
          <w:rFonts w:ascii="Segoe UI" w:hAnsi="Segoe UI" w:eastAsia="Segoe UI" w:cs="Segoe UI"/>
          <w:b/>
          <w:i w:val="0"/>
          <w:color w:val="002060"/>
          <w:sz w:val="26"/>
        </w:rPr>
        <w:t>People news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We welcomed 47 new teammates in Q1 - introduce yourself.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Two teammates hit their 5-year anniversary this month.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Benefits open enrollment kicks off in May.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The next NEXT Digest drops Friday.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If you've got questions, send them to allhands@next-decade.com before the town hall on the 18th. See you then.</w:t>
      </w:r>
    </w:p>
    <w:p/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Matt</w:t>
      </w:r>
    </w:p>
    <w:p>
      <w:r>
        <w:rPr>
          <w:rFonts w:ascii="Segoe UI" w:hAnsi="Segoe UI" w:eastAsia="Segoe UI" w:cs="Segoe UI"/>
          <w:b/>
          <w:i w:val="0"/>
          <w:color w:val="002060"/>
          <w:sz w:val="20"/>
        </w:rPr>
        <w:t>Matt Schatzman</w:t>
      </w:r>
      <w:r>
        <w:rPr>
          <w:rFonts w:ascii="Segoe UI" w:hAnsi="Segoe UI" w:eastAsia="Segoe UI" w:cs="Segoe UI"/>
          <w:b w:val="0"/>
          <w:i w:val="0"/>
          <w:color w:val="595959"/>
          <w:sz w:val="20"/>
        </w:rPr>
        <w:br/>
        <w:t>Chairman and CEO, NextDecade Corporation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 w:val="0"/>
        <w:i/>
        <w:color w:val="595959"/>
        <w:sz w:val="16"/>
      </w:rPr>
      <w:t>NextDecade Corporation (NextDecade) is committed to providing the world access to lower carbon intensive energy through Rio Grande LNG &amp; NEXT Carbon Solutions.</w:t>
    </w:r>
  </w:p>
  <w:p>
    <w:pPr>
      <w:jc w:val="center"/>
    </w:pPr>
    <w:r>
      <w:rPr>
        <w:rFonts w:ascii="Segoe UI" w:hAnsi="Segoe UI" w:eastAsia="Segoe UI" w:cs="Segoe UI"/>
        <w:b w:val="0"/>
        <w:i w:val="0"/>
        <w:color w:val="595959"/>
        <w:sz w:val="14"/>
      </w:rPr>
      <w:t>Confidential and Proprietary - This document is intended solely for internal use. Unauthorized disclosure, distribution, or reproduction is strictly prohibited. Content is preliminary and subject to revision.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 w:cs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