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 w:cs="Segoe UI"/>
          <w:b/>
          <w:i w:val="0"/>
          <w:color w:val="002060"/>
          <w:sz w:val="40"/>
        </w:rPr>
        <w:t>OPERATING COMMITTEE</w:t>
      </w:r>
    </w:p>
    <w:p>
      <w:r>
        <w:rPr>
          <w:rFonts w:ascii="Segoe UI" w:hAnsi="Segoe UI" w:eastAsia="Segoe UI" w:cs="Segoe UI"/>
          <w:b w:val="0"/>
          <w:i/>
          <w:color w:val="FC7134"/>
          <w:sz w:val="24"/>
        </w:rPr>
        <w:t>Agenda and Minutes  -  April 10, 2026</w:t>
      </w:r>
    </w:p>
    <w:p>
      <w:pPr>
        <w:pBdr>
          <w:bottom w:val="single" w:sz="12" w:space="1" w:color="00206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DATE/TIME: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April 10, 2026  -  9:00 a.m. to 10:30 a.m. Central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LOCATION: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1000 Louisiana Street, Suite 3900, Houston - Room 3901 and Teams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CHAIR: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Matt Schatzman, Chairman and Chief Executive Officer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SCRIBE:</w:t>
            </w:r>
          </w:p>
        </w:tc>
        <w:tc>
          <w:tcPr>
            <w:tcW w:type="dxa" w:w="468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L. Reynolds, Executive Assistant</w:t>
            </w:r>
          </w:p>
        </w:tc>
      </w:tr>
    </w:tbl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Attendees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Present: M. Schatzman (Chair), B. Smith (COO), K. Nguyen (CFO), S. Patel (VP Supply Chain), R. Chen (CIO), J. Doe (General Counsel), A. Gomez (VP HSSE), D. Park (VP Operations).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Absent: T. Williams (VP Commercial) - excused.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Agenda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1. Safety Moment and HSSE report (A. Gomez, 10 min)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2. Construction progress - Q1 2026 (B. Smith, 20 min)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3. Q1 financial summary and liquidity (K. Nguyen, 15 min)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4. Commercial update - Phase 2 SPA negotiations (T. Williams written report, 10 min)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5. IT and cyber readiness (R. Chen, 10 min)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6. Legal and regulatory update (J. Doe, 15 min)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7. Open items and close (M. Schatzman, 10 min)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Minutes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1. Safety Moment and HSSE Report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A. Gomez opened with a safety moment on hot work and fire watch stewardship. The near-miss event HW-2026-0143 (April 14, 2026) was reviewed; all corrective actions are complete. The Total Recordable Incident Rate for Q1 2026 is 0.42, below the industry benchmark of 0.65.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2. Construction Progress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B. Smith reported that Phase 1 construction is 68 percent complete. Engineering is 99 percent, procurement is 88 percent. All long-lead equipment is on site or in transit. Commissioning of non-cryogenic utilities starts July 2026. First LNG remains on schedule for the second half of 2027.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3. Q1 Financial Summary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K. Nguyen reported that the Company remains on budget at $18.4B for Phase 1. Quarter-end liquidity is adequate through first LNG. The Committee discussed the Phase 2 financing roadmap.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4. Commercial Update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T. Williams's written report was distributed in advance. Three investment-grade counterparties are in advanced SPA negotiations for Phase 2 volumes. Committee requested a verbal update at the next meeting.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5. IT and Cyber Readiness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R. Chen reported completion of the annual tabletop exercise. No material exposure identified. Endpoint configuration baseline is current. VPN and remote access controls validated; see related Remote Work Guidance issued April 15, 2026.</w:t>
      </w:r>
    </w:p>
    <w:p>
      <w:pPr>
        <w:pStyle w:val="Heading3"/>
      </w:pPr>
      <w:r>
        <w:rPr>
          <w:rFonts w:ascii="Segoe UI" w:hAnsi="Segoe UI" w:eastAsia="Segoe UI" w:cs="Segoe UI"/>
          <w:b/>
          <w:i w:val="0"/>
          <w:color w:val="002060"/>
          <w:sz w:val="26"/>
        </w:rPr>
        <w:t>6. Legal and Regulatory Update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J. Doe confirmed that the FERC Phase 2 authorization remains in effect. The DOE non-FTA confirmation is expected in Q2 2026. No new material litigation. The Records Retention Standard was approved for issuance effective April 15, 2026.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Decisions Made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Records Retention Standard - approved for issuance.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Remote Work Guidance - acknowledged.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Commercial verbal update - added to May 2026 agenda.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6EBF4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#</w:t>
            </w:r>
          </w:p>
        </w:tc>
        <w:tc>
          <w:tcPr>
            <w:tcW w:type="dxa" w:w="2340"/>
            <w:shd w:val="clear" w:color="auto" w:fill="E6EBF4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Action</w:t>
            </w:r>
          </w:p>
        </w:tc>
        <w:tc>
          <w:tcPr>
            <w:tcW w:type="dxa" w:w="2340"/>
            <w:shd w:val="clear" w:color="auto" w:fill="E6EBF4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Owner</w:t>
            </w:r>
          </w:p>
        </w:tc>
        <w:tc>
          <w:tcPr>
            <w:tcW w:type="dxa" w:w="2340"/>
            <w:shd w:val="clear" w:color="auto" w:fill="E6EBF4"/>
          </w:tcPr>
          <w:p>
            <w:r/>
            <w:r>
              <w:rPr>
                <w:rFonts w:ascii="Segoe UI" w:hAnsi="Segoe UI" w:eastAsia="Segoe UI" w:cs="Segoe UI"/>
                <w:b/>
                <w:i w:val="0"/>
                <w:color w:val="002060"/>
                <w:sz w:val="20"/>
              </w:rPr>
              <w:t>Due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Circulate finalized Records Retention Standard to all department heads.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J. Doe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Apr 22, 2026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Commercial Phase 2 SPA update at May OpsComm.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T. Williams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May 8, 2026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Tabletop exercise after-action report to OpsComm.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R. Chen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May 8, 2026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HW-2026-0143 corrective action closeout brief.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A. Gomez</w:t>
            </w:r>
          </w:p>
        </w:tc>
        <w:tc>
          <w:tcPr>
            <w:tcW w:type="dxa" w:w="2340"/>
          </w:tcPr>
          <w:p>
            <w:r/>
            <w:r>
              <w:rPr>
                <w:rFonts w:ascii="Segoe UI" w:hAnsi="Segoe UI" w:eastAsia="Segoe UI" w:cs="Segoe UI"/>
                <w:b w:val="0"/>
                <w:i w:val="0"/>
                <w:color w:val="000000"/>
                <w:sz w:val="20"/>
              </w:rPr>
              <w:t>May 1, 2026</w:t>
            </w:r>
          </w:p>
        </w:tc>
      </w:tr>
    </w:tbl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Adjournment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The meeting adjourned at 10:28 a.m. Central. The next Operating Committee meeting is scheduled for May 8, 2026.</w:t>
      </w:r>
    </w:p>
    <w:p/>
    <w:p>
      <w:r>
        <w:rPr>
          <w:rFonts w:ascii="Segoe UI" w:hAnsi="Segoe UI" w:eastAsia="Segoe UI" w:cs="Segoe UI"/>
          <w:b w:val="0"/>
          <w:i w:val="0"/>
          <w:color w:val="595959"/>
          <w:sz w:val="20"/>
        </w:rPr>
        <w:t>Minutes submitted by:  L. Reynolds, Executive Assistant</w:t>
      </w:r>
    </w:p>
    <w:p>
      <w:r>
        <w:rPr>
          <w:rFonts w:ascii="Segoe UI" w:hAnsi="Segoe UI" w:eastAsia="Segoe UI" w:cs="Segoe UI"/>
          <w:b w:val="0"/>
          <w:i w:val="0"/>
          <w:color w:val="595959"/>
          <w:sz w:val="20"/>
        </w:rPr>
        <w:t>Approved by:  Matt Schatzman, Chair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 w:val="0"/>
        <w:i/>
        <w:color w:val="595959"/>
        <w:sz w:val="16"/>
      </w:rPr>
      <w:t>NextDecade Corporation (NextDecade) is committed to providing the world access to lower carbon intensive energy through Rio Grande LNG &amp; NEXT Carbon Solutions.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4"/>
      </w:rPr>
      <w:t>Confidential and Proprietary - This document is intended solely for internal use. Unauthorized disclosure, distribution, or reproduction is strictly prohibited. Content is preliminary and subject to revision.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Segoe UI" w:hAnsi="Segoe UI" w:eastAsia="Segoe UI" w:cs="Segoe UI"/>
        <w:b w:val="0"/>
        <w:i w:val="0"/>
        <w:color w:val="595959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Segoe UI" w:hAnsi="Segoe UI" w:eastAsia="Segoe UI" w:cs="Segoe UI"/>
        <w:b/>
        <w:i w:val="0"/>
        <w:color w:val="002060"/>
        <w:sz w:val="18"/>
      </w:rPr>
      <w:t>NextDecade Corporation</w:t>
    </w:r>
    <w:r>
      <w:rPr>
        <w:rFonts w:ascii="Segoe UI" w:hAnsi="Segoe UI" w:eastAsia="Segoe UI" w:cs="Segoe UI"/>
        <w:b w:val="0"/>
        <w:i w:val="0"/>
        <w:color w:val="595959"/>
        <w:sz w:val="18"/>
      </w:rPr>
      <w:tab/>
      <w:t>Operating Committee  |  April 10,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