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eastAsia="Segoe UI" w:cs="Segoe UI"/>
          <w:b/>
          <w:i w:val="0"/>
          <w:color w:val="FC7134"/>
          <w:sz w:val="22"/>
        </w:rPr>
        <w:t>NEWS RELEASE</w:t>
      </w:r>
    </w:p>
    <w:p>
      <w:r>
        <w:rPr>
          <w:rFonts w:ascii="Segoe UI" w:hAnsi="Segoe UI" w:eastAsia="Segoe UI" w:cs="Segoe UI"/>
          <w:b/>
          <w:i w:val="0"/>
          <w:color w:val="002060"/>
          <w:sz w:val="20"/>
        </w:rPr>
        <w:t>FOR IMMEDIATE RELEASE</w:t>
      </w:r>
      <w:r>
        <w:rPr>
          <w:rFonts w:ascii="Segoe UI" w:hAnsi="Segoe UI" w:eastAsia="Segoe UI" w:cs="Segoe UI"/>
          <w:b w:val="0"/>
          <w:i w:val="0"/>
          <w:color w:val="000000"/>
          <w:sz w:val="20"/>
        </w:rPr>
        <w:tab/>
        <w:tab/>
        <w:tab/>
        <w:tab/>
      </w:r>
      <w:r>
        <w:rPr>
          <w:rFonts w:ascii="Segoe UI" w:hAnsi="Segoe UI" w:eastAsia="Segoe UI" w:cs="Segoe UI"/>
          <w:b w:val="0"/>
          <w:i w:val="0"/>
          <w:color w:val="000000"/>
          <w:sz w:val="20"/>
        </w:rPr>
        <w:t>April 15, 2026</w:t>
      </w:r>
    </w:p>
    <w:p>
      <w:pPr>
        <w:pBdr>
          <w:bottom w:val="single" w:sz="12" w:space="1" w:color="002060"/>
        </w:pBdr>
      </w:pPr>
    </w:p>
    <w:p>
      <w:pPr>
        <w:jc w:val="left"/>
      </w:pPr>
      <w:r>
        <w:rPr>
          <w:rFonts w:ascii="Segoe UI" w:hAnsi="Segoe UI" w:eastAsia="Segoe UI" w:cs="Segoe UI"/>
          <w:b/>
          <w:i w:val="0"/>
          <w:color w:val="002060"/>
          <w:sz w:val="36"/>
        </w:rPr>
        <w:t>NextDecade Reaches 68% Completion on Rio Grande LNG Phase 1 and Confirms Second-Half 2027 First LNG Target</w:t>
      </w:r>
    </w:p>
    <w:p>
      <w:r>
        <w:rPr>
          <w:rFonts w:ascii="Segoe UI" w:hAnsi="Segoe UI" w:eastAsia="Segoe UI" w:cs="Segoe UI"/>
          <w:b w:val="0"/>
          <w:i/>
          <w:color w:val="595959"/>
          <w:sz w:val="24"/>
        </w:rPr>
        <w:t>Company targets a Final Investment Decision on Phase 2 in the second half of 2026; three anchor offtakers in advanced SPA negotiations.</w:t>
      </w:r>
    </w:p>
    <w:p>
      <w:r>
        <w:rPr>
          <w:rFonts w:ascii="Segoe UI" w:hAnsi="Segoe UI" w:eastAsia="Segoe UI" w:cs="Segoe UI"/>
          <w:b/>
          <w:i w:val="0"/>
          <w:color w:val="000000"/>
          <w:sz w:val="22"/>
        </w:rPr>
        <w:t xml:space="preserve">HOUSTON, April 15, 2026 - </w:t>
      </w:r>
      <w:r>
        <w:rPr>
          <w:rFonts w:ascii="Segoe UI" w:hAnsi="Segoe UI" w:eastAsia="Segoe UI" w:cs="Segoe UI"/>
          <w:b w:val="0"/>
          <w:i w:val="0"/>
          <w:color w:val="000000"/>
          <w:sz w:val="22"/>
        </w:rPr>
        <w:t>NextDecade Corporation (NASDAQ: NEXT) today reported that construction of the Phase 1 Rio Grande LNG facility at the Port of Brownsville, Texas reached 68 percent completion through March 31, 2026. The Company continues to target first LNG from Train 1 in the second half of 2027. Trains 2 and 3 remain on the schedule presented at the Company's 2025 investor day.</w:t>
      </w:r>
    </w:p>
    <w:p>
      <w:r>
        <w:rPr>
          <w:rFonts w:ascii="Segoe UI" w:hAnsi="Segoe UI" w:eastAsia="Segoe UI" w:cs="Segoe UI"/>
          <w:b w:val="0"/>
          <w:i w:val="0"/>
          <w:color w:val="002060"/>
          <w:sz w:val="22"/>
        </w:rPr>
        <w:t>“</w:t>
      </w:r>
      <w:r>
        <w:rPr>
          <w:rFonts w:ascii="Segoe UI" w:hAnsi="Segoe UI" w:eastAsia="Segoe UI" w:cs="Segoe UI"/>
          <w:b w:val="0"/>
          <w:i/>
          <w:color w:val="000000"/>
          <w:sz w:val="22"/>
        </w:rPr>
        <w:t>Our teams are executing on one of the most complex LNG construction programs in the world, and they are doing it safely and on schedule. The next milestone is confirming the commercial and financing foundation for Phase 2, which we expect to bring to our Board for final investment decision before year-end.</w:t>
      </w:r>
      <w:r>
        <w:rPr>
          <w:rFonts w:ascii="Segoe UI" w:hAnsi="Segoe UI" w:eastAsia="Segoe UI" w:cs="Segoe UI"/>
          <w:b w:val="0"/>
          <w:i w:val="0"/>
          <w:color w:val="002060"/>
          <w:sz w:val="22"/>
        </w:rPr>
        <w:t>”</w:t>
      </w:r>
    </w:p>
    <w:p>
      <w:r>
        <w:rPr>
          <w:rFonts w:ascii="Segoe UI" w:hAnsi="Segoe UI" w:eastAsia="Segoe UI" w:cs="Segoe UI"/>
          <w:b/>
          <w:i w:val="0"/>
          <w:color w:val="002060"/>
          <w:sz w:val="20"/>
        </w:rPr>
        <w:t>- Matt Schatzman, Chairman and Chief Executive Officer</w:t>
      </w:r>
    </w:p>
    <w:p>
      <w:r>
        <w:rPr>
          <w:rFonts w:ascii="Segoe UI" w:hAnsi="Segoe UI" w:eastAsia="Segoe UI" w:cs="Segoe UI"/>
          <w:b w:val="0"/>
          <w:i w:val="0"/>
          <w:color w:val="000000"/>
          <w:sz w:val="22"/>
        </w:rPr>
        <w:t>Engineering is 99 percent complete and procurement is 88 percent complete, with all long-lead equipment on site or in transit. Commissioning of the non-cryogenic utilities is scheduled to begin in the third quarter of 2026.</w:t>
      </w:r>
    </w:p>
    <w:p>
      <w:r>
        <w:rPr>
          <w:rFonts w:ascii="Segoe UI" w:hAnsi="Segoe UI" w:eastAsia="Segoe UI" w:cs="Segoe UI"/>
          <w:b w:val="0"/>
          <w:i w:val="0"/>
          <w:color w:val="000000"/>
          <w:sz w:val="22"/>
        </w:rPr>
        <w:t>Long-term sale and purchase agreements for Phase 2 volumes are progressing with three investment-grade counterparties. The Federal Energy Regulatory Commission authorization for Phase 2 remains in effect, and the Department of Energy non-Free Trade Agreement export authorization is expected to be confirmed in the second quarter of 2026.</w:t>
      </w:r>
    </w:p>
    <w:p>
      <w:r>
        <w:rPr>
          <w:rFonts w:ascii="Segoe UI" w:hAnsi="Segoe UI" w:eastAsia="Segoe UI" w:cs="Segoe UI"/>
          <w:b w:val="0"/>
          <w:i w:val="0"/>
          <w:color w:val="000000"/>
          <w:sz w:val="22"/>
        </w:rPr>
        <w:t>The Rio Grande LNG site recorded 3.1 million construction hours in the first quarter of 2026, with a Total Recordable Incident Rate of 0.42, below the industry benchmark. NextDecade's commitment to the workforce and to the Rio Grande Valley community remains central to the Company's execution.</w:t>
      </w:r>
    </w:p>
    <w:p>
      <w:pPr>
        <w:pStyle w:val="Heading3"/>
      </w:pPr>
      <w:r>
        <w:rPr>
          <w:rFonts w:ascii="Segoe UI" w:hAnsi="Segoe UI" w:eastAsia="Segoe UI" w:cs="Segoe UI"/>
          <w:b/>
          <w:i w:val="0"/>
          <w:color w:val="002060"/>
          <w:sz w:val="26"/>
        </w:rPr>
        <w:t>About NextDecade Corporation</w:t>
      </w:r>
    </w:p>
    <w:p>
      <w:r>
        <w:rPr>
          <w:rFonts w:ascii="Segoe UI" w:hAnsi="Segoe UI" w:eastAsia="Segoe UI" w:cs="Segoe UI"/>
          <w:b w:val="0"/>
          <w:i w:val="0"/>
          <w:color w:val="000000"/>
          <w:sz w:val="22"/>
        </w:rPr>
        <w:t>NextDecade Corporation is an LNG development company. The Company is developing and constructing the Rio Grande LNG facility at the Port of Brownsville, Texas, one of the largest LNG export facilities in the United States. Through its subsidiary, NEXT Carbon Solutions, NextDecade is developing carbon capture and storage projects that seek to permanently store carbon dioxide associated with natural gas liquefaction. NextDecade is committed to providing the world access to lower carbon intensive energy. For more information, please visit www.next-decade.com.</w:t>
      </w:r>
    </w:p>
    <w:p>
      <w:pPr>
        <w:pStyle w:val="Heading3"/>
      </w:pPr>
      <w:r>
        <w:rPr>
          <w:rFonts w:ascii="Segoe UI" w:hAnsi="Segoe UI" w:eastAsia="Segoe UI" w:cs="Segoe UI"/>
          <w:b/>
          <w:i w:val="0"/>
          <w:color w:val="002060"/>
          <w:sz w:val="26"/>
        </w:rPr>
        <w:t>Forward-Looking Statements</w:t>
      </w:r>
    </w:p>
    <w:p>
      <w:r>
        <w:rPr>
          <w:rFonts w:ascii="Segoe UI" w:hAnsi="Segoe UI" w:eastAsia="Segoe UI" w:cs="Segoe UI"/>
          <w:b w:val="0"/>
          <w:i w:val="0"/>
          <w:color w:val="595959"/>
          <w:sz w:val="16"/>
        </w:rPr>
        <w:t>This press release contains forward-looking statements within the meaning of Section 27A of the Securities Act of 1933 and Section 21E of the Securities Exchange Act of 1934. Forward-looking statements include statements with respect to NextDecade's plans, expectations, beliefs, intentions, and strategies regarding the Rio Grande LNG facility, NEXT Carbon Solutions, future contracting activity, final investment decisions, regulatory matters, construction and commissioning schedules, and financial results. The words 'anticipate,' 'assume,' 'budget,' 'contemplate,' 'believe,' 'could,' 'estimate,' 'expect,' 'forecast,' 'intend,' 'may,' 'plan,' 'potential,' 'project,' 'should,' 'target,' 'will,' and similar expressions identify forward-looking statements. Actual results could differ materially from those projected. Factors that could cause actual results to differ include, among others, the ability to obtain financing for future phases, construction and operational risks at the Rio Grande LNG facility and associated pipeline, evolution of the global LNG market, the progress of NEXT Carbon Solutions carbon capture and storage projects, and changes in regulatory posture. NextDecade undertakes no obligation to publicly correct or update any forward-looking statement, whether as a result of new information, future events, or otherwise.</w:t>
      </w:r>
    </w:p>
    <w:p>
      <w:pPr>
        <w:pStyle w:val="Heading3"/>
      </w:pPr>
      <w:r>
        <w:rPr>
          <w:rFonts w:ascii="Segoe UI" w:hAnsi="Segoe UI" w:eastAsia="Segoe UI" w:cs="Segoe UI"/>
          <w:b/>
          <w:i w:val="0"/>
          <w:color w:val="002060"/>
          <w:sz w:val="26"/>
        </w:rPr>
        <w:t>Investor and Media Contacts</w:t>
      </w:r>
    </w:p>
    <w:p>
      <w:r>
        <w:rPr>
          <w:rFonts w:ascii="Segoe UI" w:hAnsi="Segoe UI" w:eastAsia="Segoe UI" w:cs="Segoe UI"/>
          <w:b w:val="0"/>
          <w:i w:val="0"/>
          <w:color w:val="000000"/>
          <w:sz w:val="22"/>
        </w:rPr>
        <w:t>Investors:</w:t>
      </w:r>
      <w:r>
        <w:rPr>
          <w:rFonts w:ascii="Segoe UI" w:hAnsi="Segoe UI" w:eastAsia="Segoe UI" w:cs="Segoe UI"/>
          <w:b/>
          <w:i w:val="0"/>
          <w:color w:val="002060"/>
          <w:sz w:val="22"/>
        </w:rPr>
        <w:t xml:space="preserve">  ir@next-decade.com</w:t>
      </w:r>
    </w:p>
    <w:p>
      <w:r>
        <w:rPr>
          <w:rFonts w:ascii="Segoe UI" w:hAnsi="Segoe UI" w:eastAsia="Segoe UI" w:cs="Segoe UI"/>
          <w:b w:val="0"/>
          <w:i w:val="0"/>
          <w:color w:val="000000"/>
          <w:sz w:val="22"/>
        </w:rPr>
        <w:t>Media:</w:t>
      </w:r>
      <w:r>
        <w:rPr>
          <w:rFonts w:ascii="Segoe UI" w:hAnsi="Segoe UI" w:eastAsia="Segoe UI" w:cs="Segoe UI"/>
          <w:b/>
          <w:i w:val="0"/>
          <w:color w:val="002060"/>
          <w:sz w:val="22"/>
        </w:rPr>
        <w:t xml:space="preserve">  media@next-decade.com</w:t>
      </w:r>
    </w:p>
    <w:p>
      <w:pPr>
        <w:jc w:val="center"/>
      </w:pPr>
      <w:r>
        <w:rPr>
          <w:rFonts w:ascii="Segoe UI" w:hAnsi="Segoe UI" w:eastAsia="Segoe UI" w:cs="Segoe UI"/>
          <w:b w:val="0"/>
          <w:i w:val="0"/>
          <w:color w:val="595959"/>
          <w:sz w:val="16"/>
        </w:rPr>
        <w:t>1000 Louisiana Street, Suite 3900, Houston, Texas 77002 USA</w:t>
      </w:r>
    </w:p>
    <w:p>
      <w:pPr>
        <w:jc w:val="center"/>
      </w:pPr>
      <w:r>
        <w:rPr>
          <w:rFonts w:ascii="Segoe UI" w:hAnsi="Segoe UI" w:eastAsia="Segoe UI" w:cs="Segoe UI"/>
          <w:b/>
          <w:i w:val="0"/>
          <w:color w:val="002060"/>
          <w:sz w:val="22"/>
        </w:rPr>
        <w: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val="0"/>
        <w:i/>
        <w:color w:val="595959"/>
        <w:sz w:val="16"/>
      </w:rPr>
      <w:t>NextDecade Corporation (NextDecade) is committed to providing the world access to lower carbon intensive energy through Rio Grande LNG &amp; NEXT Carbon Solutions.</w:t>
    </w:r>
  </w:p>
  <w:p>
    <w:pPr>
      <w:jc w:val="center"/>
    </w:pPr>
    <w:r>
      <w:rPr>
        <w:rFonts w:ascii="Segoe UI" w:hAnsi="Segoe UI" w:eastAsia="Segoe UI" w:cs="Segoe UI"/>
        <w:b w:val="0"/>
        <w:i w:val="0"/>
        <w:color w:val="595959"/>
        <w:sz w:val="16"/>
      </w:rPr>
      <w:t xml:space="preserve">Page </w:t>
    </w:r>
    <w:r>
      <w:fldChar w:fldCharType="begin"/>
      <w:instrText xml:space="preserve"> PAGE </w:instrText>
      <w:fldChar w:fldCharType="end"/>
    </w:r>
    <w:r>
      <w:rPr>
        <w:rFonts w:ascii="Segoe UI" w:hAnsi="Segoe UI" w:eastAsia="Segoe UI" w:cs="Segoe UI"/>
        <w:b w:val="0"/>
        <w:i w:val="0"/>
        <w:color w:val="595959"/>
        <w:sz w:val="16"/>
      </w:rPr>
      <w:t xml:space="preserve"> of </w:t>
    </w:r>
    <w: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cs="Segoe U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eastAsia="Segoe UI" w:cs="Segoe UI"/>
      <w:b/>
      <w:bCs/>
      <w:color w:val="00206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eastAsia="Segoe UI" w:cs="Segoe UI"/>
      <w:b/>
      <w:bCs/>
      <w:color w:val="00206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eastAsia="Segoe UI" w:cs="Segoe UI"/>
      <w:b/>
      <w:bCs/>
      <w:color w:val="00206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