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 w:eastAsia="Segoe UI" w:cs="Segoe UI"/>
          <w:b/>
          <w:i w:val="0"/>
          <w:color w:val="002060"/>
          <w:sz w:val="56"/>
        </w:rPr>
        <w:t>RIO GRANDE LNG</w:t>
      </w:r>
    </w:p>
    <w:p>
      <w:pPr>
        <w:jc w:val="center"/>
      </w:pPr>
      <w:r>
        <w:rPr>
          <w:rFonts w:ascii="Segoe UI" w:hAnsi="Segoe UI" w:eastAsia="Segoe UI" w:cs="Segoe UI"/>
          <w:b w:val="0"/>
          <w:i/>
          <w:color w:val="FC7134"/>
          <w:sz w:val="24"/>
        </w:rPr>
        <w:t>Fact Sheet  -  April 2026</w:t>
      </w:r>
    </w:p>
    <w:p>
      <w:pPr>
        <w:pBdr>
          <w:bottom w:val="single" w:sz="12" w:space="1" w:color="FC713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Segoe UI" w:hAnsi="Segoe UI" w:eastAsia="Segoe UI" w:cs="Segoe UI"/>
                <w:b/>
                <w:i w:val="0"/>
                <w:color w:val="002060"/>
                <w:sz w:val="28"/>
              </w:rPr>
              <w:t>Project Overview</w:t>
            </w:r>
          </w:p>
          <w:p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Rio Grande LNG is an LNG liquefaction and export facility under construction at the Port of Brownsville, in the Rio Grande Valley of Texas. Phase 1 is comprised of three liquefaction trains with a combined nameplate capacity of 17.6 MTPA. Commercial operations for Train 1 are expected in the second half of 2027.</w:t>
            </w:r>
          </w:p>
          <w:p>
            <w:r>
              <w:rPr>
                <w:rFonts w:ascii="Segoe UI" w:hAnsi="Segoe UI" w:eastAsia="Segoe UI" w:cs="Segoe UI"/>
                <w:b/>
                <w:i w:val="0"/>
                <w:color w:val="002060"/>
                <w:sz w:val="24"/>
              </w:rPr>
              <w:t>Location</w:t>
            </w:r>
          </w:p>
          <w:p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Port of Brownsville, Cameron County, Texas</w:t>
            </w:r>
          </w:p>
          <w:p>
            <w:r>
              <w:rPr>
                <w:rFonts w:ascii="Segoe UI" w:hAnsi="Segoe UI" w:eastAsia="Segoe UI" w:cs="Segoe UI"/>
                <w:b/>
                <w:i w:val="0"/>
                <w:color w:val="002060"/>
                <w:sz w:val="24"/>
              </w:rPr>
              <w:t>Phase 1 Capacity</w:t>
            </w:r>
          </w:p>
          <w:p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3 Trains  |  17.6 MTPA nameplate</w:t>
            </w:r>
          </w:p>
          <w:p>
            <w:r>
              <w:rPr>
                <w:rFonts w:ascii="Segoe UI" w:hAnsi="Segoe UI" w:eastAsia="Segoe UI" w:cs="Segoe UI"/>
                <w:b/>
                <w:i w:val="0"/>
                <w:color w:val="002060"/>
                <w:sz w:val="24"/>
              </w:rPr>
              <w:t>First LNG</w:t>
            </w:r>
          </w:p>
          <w:p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Second half of 2027 (Train 1)</w:t>
            </w:r>
          </w:p>
          <w:p>
            <w:r>
              <w:rPr>
                <w:rFonts w:ascii="Segoe UI" w:hAnsi="Segoe UI" w:eastAsia="Segoe UI" w:cs="Segoe UI"/>
                <w:b/>
                <w:i w:val="0"/>
                <w:color w:val="002060"/>
                <w:sz w:val="24"/>
              </w:rPr>
              <w:t>Phase 2</w:t>
            </w:r>
          </w:p>
          <w:p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Up to 2 additional trains; FID targeted 2H 2026.</w:t>
            </w:r>
          </w:p>
          <w:p>
            <w:r>
              <w:rPr>
                <w:rFonts w:ascii="Segoe UI" w:hAnsi="Segoe UI" w:eastAsia="Segoe UI" w:cs="Segoe UI"/>
                <w:b/>
                <w:i w:val="0"/>
                <w:color w:val="002060"/>
                <w:sz w:val="24"/>
              </w:rPr>
              <w:t>Regulatory</w:t>
            </w:r>
          </w:p>
          <w:p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FERC authorized; DOE FTA and non-FTA authorizations in place.</w:t>
            </w:r>
          </w:p>
        </w:tc>
        <w:tc>
          <w:tcPr>
            <w:tcW w:type="dxa" w:w="4680"/>
          </w:tcPr>
          <w:p>
            <w:r>
              <w:rPr>
                <w:rFonts w:ascii="Segoe UI" w:hAnsi="Segoe UI" w:eastAsia="Segoe UI" w:cs="Segoe UI"/>
                <w:b/>
                <w:i w:val="0"/>
                <w:color w:val="002060"/>
                <w:sz w:val="28"/>
              </w:rPr>
              <w:t>At a Glance</w:t>
            </w:r>
          </w:p>
          <w:p>
            <w:r>
              <w:rPr>
                <w:rFonts w:ascii="Segoe UI" w:hAnsi="Segoe UI" w:eastAsia="Segoe UI" w:cs="Segoe UI"/>
                <w:b/>
                <w:i w:val="0"/>
                <w:color w:val="002060"/>
                <w:sz w:val="24"/>
              </w:rPr>
              <w:t>Parent</w:t>
            </w:r>
          </w:p>
          <w:p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NextDecade Corporation (NASDAQ: NEXT)</w:t>
            </w:r>
          </w:p>
          <w:p>
            <w:r>
              <w:rPr>
                <w:rFonts w:ascii="Segoe UI" w:hAnsi="Segoe UI" w:eastAsia="Segoe UI" w:cs="Segoe UI"/>
                <w:b/>
                <w:i w:val="0"/>
                <w:color w:val="002060"/>
                <w:sz w:val="24"/>
              </w:rPr>
              <w:t>Stock Listing</w:t>
            </w:r>
          </w:p>
          <w:p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NASDAQ: NEXT</w:t>
            </w:r>
          </w:p>
          <w:p>
            <w:r>
              <w:rPr>
                <w:rFonts w:ascii="Segoe UI" w:hAnsi="Segoe UI" w:eastAsia="Segoe UI" w:cs="Segoe UI"/>
                <w:b/>
                <w:i w:val="0"/>
                <w:color w:val="002060"/>
                <w:sz w:val="24"/>
              </w:rPr>
              <w:t>Project Milestones</w:t>
            </w:r>
          </w:p>
          <w:p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 xml:space="preserve"> - FID Phase 1: 2023</w:t>
            </w:r>
          </w:p>
          <w:p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 xml:space="preserve"> - Notice to Proceed: 2023</w:t>
            </w:r>
          </w:p>
          <w:p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 xml:space="preserve"> - Construction 68% complete (Q1 2026)</w:t>
            </w:r>
          </w:p>
          <w:p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 xml:space="preserve"> - First LNG: 2H 2027</w:t>
            </w:r>
          </w:p>
          <w:p>
            <w:r>
              <w:rPr>
                <w:rFonts w:ascii="Segoe UI" w:hAnsi="Segoe UI" w:eastAsia="Segoe UI" w:cs="Segoe UI"/>
                <w:b/>
                <w:i w:val="0"/>
                <w:color w:val="002060"/>
                <w:sz w:val="24"/>
              </w:rPr>
              <w:t>Community Commitment</w:t>
            </w:r>
          </w:p>
          <w:p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NextDecade is committed to the Rio Grande Valley. The Company supports local workforce development, bilingual community engagement, and environmental stewardship consistent with its FERC commitments.</w:t>
            </w:r>
          </w:p>
          <w:p>
            <w:r>
              <w:rPr>
                <w:rFonts w:ascii="Segoe UI" w:hAnsi="Segoe UI" w:eastAsia="Segoe UI" w:cs="Segoe UI"/>
                <w:b/>
                <w:i w:val="0"/>
                <w:color w:val="002060"/>
                <w:sz w:val="24"/>
              </w:rPr>
              <w:t>Carbon Reduction Pathway</w:t>
            </w:r>
          </w:p>
          <w:p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Through NEXT Carbon Solutions, NextDecade is developing carbon capture and storage projects designed to permanently store carbon dioxide from natural gas liquefaction.</w:t>
            </w:r>
          </w:p>
        </w:tc>
      </w:tr>
    </w:tbl>
    <w:p/>
    <w:p>
      <w:pPr>
        <w:pBdr>
          <w:bottom w:val="single" w:sz="12" w:space="1" w:color="002060"/>
        </w:pBdr>
      </w:pPr>
    </w:p>
    <w:p>
      <w:pPr>
        <w:jc w:val="center"/>
      </w:pPr>
      <w:r>
        <w:rPr>
          <w:rFonts w:ascii="Segoe UI" w:hAnsi="Segoe UI" w:eastAsia="Segoe UI" w:cs="Segoe UI"/>
          <w:b/>
          <w:i w:val="0"/>
          <w:color w:val="002060"/>
          <w:sz w:val="20"/>
        </w:rPr>
        <w:t>www.next-decade.com   |   ir@next-decade.com   |   media@next-decade.com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 w:val="0"/>
        <w:i/>
        <w:color w:val="595959"/>
        <w:sz w:val="16"/>
      </w:rPr>
      <w:t>NextDecade Corporation (NextDecade) is committed to providing the world access to lower carbon intensive energy through Rio Grande LNG &amp; NEXT Carbon Solutions.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 w:cs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