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1001"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0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The purpose of the Hot Work Safety Guidance ("Guidance") is to summarize best-practice recommendations for conducting hot work safely at NextDecade facilities. This Guidance is advisory in nature; mandatory requirements live in the Hot Work Permit and Fire Watch Procedure.</w:t>
      </w:r>
    </w:p>
    <w:p w14:paraId="3AC5ED07" w14:textId="2E76F896" w:rsidR="00C075CD" w:rsidRDefault="00B655EB"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w:t>
      </w:r>
      <w:r w:rsidR="00D87FCB">
        <w:rPr>
          <w:rFonts w:ascii="Times New Roman" w:hAnsi="Times New Roman" w:cs="Times New Roman"/>
        </w:rPr>
        <w:t>Guidance</w:t>
      </w:r>
      <w:r>
        <w:rPr>
          <w:rFonts w:ascii="Times New Roman" w:hAnsi="Times New Roman" w:cs="Times New Roman"/>
        </w:rPr>
        <w:t xml:space="preserve"> </w:t>
      </w:r>
      <w:r w:rsidR="00285AA5">
        <w:rPr>
          <w:rFonts w:ascii="Times New Roman" w:hAnsi="Times New Roman" w:cs="Times New Roman"/>
        </w:rPr>
        <w:t>outlines</w:t>
      </w:r>
      <w:r>
        <w:rPr>
          <w:rFonts w:ascii="Times New Roman" w:hAnsi="Times New Roman" w:cs="Times New Roman"/>
        </w:rPr>
        <w:t xml:space="preserve"> </w:t>
      </w:r>
      <w:r w:rsidR="00234D85">
        <w:rPr>
          <w:rFonts w:ascii="Times New Roman" w:hAnsi="Times New Roman" w:cs="Times New Roman"/>
        </w:rPr>
        <w:t>‘</w:t>
      </w:r>
      <w:r w:rsidR="00147A10">
        <w:rPr>
          <w:rFonts w:ascii="Times New Roman" w:hAnsi="Times New Roman" w:cs="Times New Roman"/>
        </w:rPr>
        <w:t xml:space="preserve">Best Practices </w:t>
      </w:r>
      <w:r w:rsidR="00241510">
        <w:rPr>
          <w:rFonts w:ascii="Times New Roman" w:hAnsi="Times New Roman" w:cs="Times New Roman"/>
        </w:rPr>
        <w:t>Recommendations</w:t>
      </w:r>
      <w:r w:rsidR="00234D85">
        <w:rPr>
          <w:rFonts w:ascii="Times New Roman" w:hAnsi="Times New Roman" w:cs="Times New Roman"/>
        </w:rPr>
        <w:t>’</w:t>
      </w:r>
      <w:r>
        <w:rPr>
          <w:rFonts w:ascii="Times New Roman" w:hAnsi="Times New Roman" w:cs="Times New Roman"/>
        </w:rPr>
        <w:t xml:space="preserve"> </w:t>
      </w:r>
      <w:r w:rsidR="00241510">
        <w:rPr>
          <w:rFonts w:ascii="Times New Roman" w:hAnsi="Times New Roman" w:cs="Times New Roman"/>
        </w:rPr>
        <w:t>regarding [Name associated Procedure</w:t>
      </w:r>
      <w:r>
        <w:rPr>
          <w:rFonts w:ascii="Times New Roman" w:hAnsi="Times New Roman" w:cs="Times New Roman"/>
        </w:rPr>
        <w:t xml:space="preserve">].  </w:t>
      </w:r>
    </w:p>
    <w:p w14:paraId="2607788B" w14:textId="5EF6BD38" w:rsidR="00B655EB" w:rsidRPr="00540915" w:rsidRDefault="00B655EB" w:rsidP="00D56165">
      <w:pPr>
        <w:pStyle w:val="ListParagraph"/>
        <w:spacing w:after="120" w:line="240" w:lineRule="auto"/>
        <w:ind w:left="0"/>
        <w:contextualSpacing w:val="0"/>
        <w:jc w:val="both"/>
        <w:rPr>
          <w:rFonts w:ascii="Times New Roman" w:hAnsi="Times New Roman" w:cs="Times New Roman"/>
        </w:rPr>
      </w:pPr>
      <w:r w:rsidRPr="006409E0">
        <w:rPr>
          <w:rFonts w:ascii="Times New Roman" w:hAnsi="Times New Roman"/>
        </w:rPr>
        <w:t xml:space="preserve">The </w:t>
      </w:r>
      <w:r w:rsidR="00C075CD">
        <w:rPr>
          <w:rFonts w:ascii="Times New Roman" w:hAnsi="Times New Roman"/>
        </w:rPr>
        <w:t>Guideline</w:t>
      </w:r>
      <w:r w:rsidRPr="006409E0">
        <w:rPr>
          <w:rFonts w:ascii="Times New Roman" w:hAnsi="Times New Roman"/>
        </w:rPr>
        <w:t xml:space="preserve"> applies to all employees, officers, directors, agents, consultants, contractors, and representatives, and any other individuals </w:t>
      </w:r>
      <w:r w:rsidRPr="002D6FE4">
        <w:rPr>
          <w:rFonts w:ascii="Times New Roman" w:hAnsi="Times New Roman"/>
        </w:rPr>
        <w:t>when they act on behalf of the Company</w:t>
      </w:r>
      <w:r w:rsidRPr="006409E0">
        <w:rPr>
          <w:rFonts w:ascii="Times New Roman" w:hAnsi="Times New Roman"/>
        </w:rPr>
        <w:t xml:space="preserve"> (collectively “Workforce”).</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 xml:space="preserve">This Guidance is part of NextDecade's integrated Governance Framework. The Workforce should consider this Guidance alongside the HSSE Standard and the Hot Work Permit and Fire Watch Procedure.</w:t>
      </w:r>
      <w:proofErr w:type="spellStart"/>
      <w:proofErr w:type="spellEnd"/>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 xml:space="preserve">The following best-practice recommendations supplement the mandatory requirements of the Hot Work Permit and Fire Watch Procedure.</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Conduct a tabletop walkdown of the planned work 48 hours in advance with the Permit Issuer, Fire Watch, and Permit Requester.</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Where multiple simultaneous hot work jobs are planned, assign a dedicated Fire Watch to each — do not share Fire Watches across work locations.</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Install wind socks at each active hot work site so Fire Watches and Permit Issuers have real-time visibility of wind conditions.</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Debrief every hot work shift with a five-minute after-action review, even when no incidents occurred — trend small observations.</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 xml:space="preserve">Stage fire-blanket caches every 200 feet along construction corridors during high-activity months.</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r>
              <w:t xml:space="preserve">Hot Work Permit Issuer</w:t>
            </w: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r>
              <w:t xml:space="preserve">Director, HSSE</w:t>
            </w: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r>
              <w:t xml:space="preserve">Operations Superintendent; Construction Manager; Fire Watch</w:t>
            </w: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r>
              <w:t xml:space="preserve">All Workforce performing or supporting hot work</w:t>
            </w: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 xml:space="preserve">s/ Director, HSSE</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 xml:space="preserve">NextDecade Corporation</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r>
              <w:t xml:space="preserve">14-Apr-2026</w:t>
            </w: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 xml:space="preserve">0</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 xml:space="preserve">Issued for Use</w:t>
            </w: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