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1F1F"/>
          <w:sz w:val="48"/>
        </w:rPr>
        <w:t>Skills and Documentation</w:t>
      </w:r>
    </w:p>
    <w:p>
      <w:r>
        <w:rPr>
          <w:i/>
          <w:color w:val="555555"/>
          <w:sz w:val="22"/>
        </w:rPr>
        <w:t>Standards and Procedures — distilled from the Skills-fork repository</w:t>
      </w:r>
    </w:p>
    <w:p/>
    <w:p>
      <w:pPr>
        <w:pStyle w:val="Heading1"/>
      </w:pPr>
      <w:r>
        <w:t>Skills and Documentation — Standards and Procedures</w:t>
      </w:r>
    </w:p>
    <w:p>
      <w:pPr>
        <w:ind w:left="720"/>
      </w:pPr>
      <w:r>
        <w:rPr>
          <w:i/>
          <w:color w:val="555555"/>
        </w:rPr>
        <w:t>Source of truth: the `Skills-fork` repository. This document is a distilled, Word-friendly version of the rules encoded there. If this doc and the repo disagree, the repo wins.</w:t>
      </w:r>
    </w:p>
    <w:p>
      <w:pPr>
        <w:pStyle w:val="Heading2"/>
      </w:pPr>
      <w:r>
        <w:t>1. Purpose</w:t>
      </w:r>
    </w:p>
    <w:p>
      <w:r>
        <w:t>This document sets the company standard for:</w:t>
      </w:r>
    </w:p>
    <w:p>
      <w:pPr>
        <w:pStyle w:val="ListNumber"/>
      </w:pPr>
      <w:r>
        <w:t xml:space="preserve">Authoring agent </w:t>
      </w:r>
      <w:r>
        <w:rPr>
          <w:b/>
        </w:rPr>
        <w:t>skills</w:t>
      </w:r>
      <w:r>
        <w:t xml:space="preserve"> that will run under our enterprise Claude deployment.</w:t>
      </w:r>
    </w:p>
    <w:p>
      <w:pPr>
        <w:pStyle w:val="ListNumber"/>
      </w:pPr>
      <w:r>
        <w:t xml:space="preserve">Writing </w:t>
      </w:r>
      <w:r>
        <w:rPr>
          <w:b/>
        </w:rPr>
        <w:t>`SKILL.md`</w:t>
      </w:r>
      <w:r>
        <w:t xml:space="preserve"> files that ship with each skill.</w:t>
      </w:r>
    </w:p>
    <w:p>
      <w:pPr>
        <w:pStyle w:val="ListNumber"/>
      </w:pPr>
      <w:r>
        <w:t xml:space="preserve">Writing </w:t>
      </w:r>
      <w:r>
        <w:rPr>
          <w:b/>
        </w:rPr>
        <w:t>Markdown documentation</w:t>
      </w:r>
      <w:r>
        <w:t xml:space="preserve"> across the company. The skills in </w:t>
      </w:r>
      <w:r>
        <w:rPr>
          <w:rFonts w:ascii="Consolas" w:hAnsi="Consolas"/>
          <w:sz w:val="20"/>
        </w:rPr>
        <w:t>skills/</w:t>
      </w:r>
      <w:r>
        <w:t xml:space="preserve"> are the reference examples.</w:t>
      </w:r>
    </w:p>
    <w:p>
      <w:pPr>
        <w:pStyle w:val="Heading2"/>
      </w:pPr>
      <w:r>
        <w:t>2. Scope</w:t>
      </w:r>
    </w:p>
    <w:p>
      <w:r>
        <w:t>Applies to every team that adds a new skill, edits an existing company skill, or produces internal documentation where the company Markdown style applies.</w:t>
      </w:r>
    </w:p>
    <w:p>
      <w:r>
        <w:t xml:space="preserve">Does </w:t>
      </w:r>
      <w:r>
        <w:rPr>
          <w:b/>
        </w:rPr>
        <w:t>not</w:t>
      </w:r>
      <w:r>
        <w:t xml:space="preserve"> apply to upstream Anthropic skill bodies inherited via the fork — those are read-only in our tree (see §5 Upstream Sync Procedure).</w:t>
      </w:r>
    </w:p>
    <w:p>
      <w:r>
        <w:t>____________________________________________________________</w:t>
      </w:r>
    </w:p>
    <w:p>
      <w:pPr>
        <w:pStyle w:val="Heading2"/>
      </w:pPr>
      <w:r>
        <w:t xml:space="preserve">3. Standard — </w:t>
      </w:r>
      <w:r>
        <w:rPr>
          <w:rFonts w:ascii="Consolas" w:hAnsi="Consolas"/>
          <w:sz w:val="20"/>
        </w:rPr>
        <w:t>SKILL.md</w:t>
      </w:r>
      <w:r>
        <w:t xml:space="preserve"> frontmatter</w:t>
      </w:r>
    </w:p>
    <w:p>
      <w:r>
        <w:t xml:space="preserve">Every </w:t>
      </w:r>
      <w:r>
        <w:rPr>
          <w:rFonts w:ascii="Consolas" w:hAnsi="Consolas"/>
          <w:sz w:val="20"/>
        </w:rPr>
        <w:t>SKILL.md</w:t>
      </w:r>
      <w:r>
        <w:t xml:space="preserve"> shipped under </w:t>
      </w:r>
      <w:r>
        <w:rPr>
          <w:rFonts w:ascii="Consolas" w:hAnsi="Consolas"/>
          <w:sz w:val="20"/>
        </w:rPr>
        <w:t>skills/&lt;slug&gt;/</w:t>
      </w:r>
      <w:r>
        <w:t xml:space="preserve"> </w:t>
      </w:r>
      <w:r>
        <w:rPr>
          <w:b/>
        </w:rPr>
        <w:t>must</w:t>
      </w:r>
      <w:r>
        <w:t xml:space="preserve"> declare the following YAML frontmatter.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Lowercase, hyphenated. Must match the directory name exactly.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 xml:space="preserve">Full sentence(s). New skills should use explicit </w:t>
            </w:r>
            <w:r>
              <w:rPr>
                <w:rFonts w:ascii="Consolas" w:hAnsi="Consolas"/>
                <w:sz w:val="20"/>
              </w:rPr>
              <w:t>TRIGGER when: …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DO NOT TRIGGER when: …</w:t>
            </w:r>
            <w:r>
              <w:t xml:space="preserve"> clauses so Claude fires the skill accurately. See </w:t>
            </w:r>
            <w:r>
              <w:rPr>
                <w:rFonts w:ascii="Consolas" w:hAnsi="Consolas"/>
                <w:sz w:val="20"/>
              </w:rPr>
              <w:t>skills/claude-api/SKILL.md</w:t>
            </w:r>
            <w:r>
              <w:t xml:space="preserve"> as the canonical example.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license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Complete terms in LICENSE.txt</w:t>
            </w:r>
            <w:r>
              <w:t xml:space="preserve"> for Apache-2.0 skills. </w:t>
            </w:r>
            <w:r>
              <w:rPr>
                <w:rFonts w:ascii="Consolas" w:hAnsi="Consolas"/>
                <w:sz w:val="20"/>
              </w:rPr>
              <w:t>Proprietary. LICENSE.txt has complete terms</w:t>
            </w:r>
            <w:r>
              <w:t xml:space="preserve"> for source-available document skills. A </w:t>
            </w:r>
            <w:r>
              <w:rPr>
                <w:rFonts w:ascii="Consolas" w:hAnsi="Consolas"/>
                <w:sz w:val="20"/>
              </w:rPr>
              <w:t>LICENSE.txt</w:t>
            </w:r>
            <w:r>
              <w:t xml:space="preserve"> file must sit beside the </w:t>
            </w:r>
            <w:r>
              <w:rPr>
                <w:rFonts w:ascii="Consolas" w:hAnsi="Consolas"/>
                <w:sz w:val="20"/>
              </w:rPr>
              <w:t>SKILL.md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allowed-tools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  <w:tc>
          <w:tcPr>
            <w:tcW w:type="dxa" w:w="2880"/>
          </w:tcPr>
          <w:p>
            <w:r/>
            <w:r>
              <w:t>Scope tool access when a skill must run under a restricted allowlist.</w:t>
            </w:r>
          </w:p>
        </w:tc>
      </w:tr>
    </w:tbl>
    <w:p/>
    <w:p>
      <w:r>
        <w:t>No other frontmatter fields are standardized at this time.</w:t>
      </w:r>
    </w:p>
    <w:p>
      <w:r>
        <w:t>____________________________________________________________</w:t>
      </w:r>
    </w:p>
    <w:p>
      <w:pPr>
        <w:pStyle w:val="Heading2"/>
      </w:pPr>
      <w:r>
        <w:t xml:space="preserve">4. Standard — </w:t>
      </w:r>
      <w:r>
        <w:rPr>
          <w:rFonts w:ascii="Consolas" w:hAnsi="Consolas"/>
          <w:sz w:val="20"/>
        </w:rPr>
        <w:t>SKILL.md</w:t>
      </w:r>
      <w:r>
        <w:t xml:space="preserve"> body</w:t>
      </w:r>
    </w:p>
    <w:p>
      <w:pPr>
        <w:pStyle w:val="ListBullet"/>
      </w:pPr>
      <w:r>
        <w:rPr>
          <w:b/>
        </w:rPr>
        <w:t>Section order:</w:t>
      </w:r>
      <w:r>
        <w:t xml:space="preserve"> When to use → How it works → Examples → Guardrails → Supporting files. The enterprise template in </w:t>
      </w:r>
      <w:r>
        <w:rPr>
          <w:rFonts w:ascii="Consolas" w:hAnsi="Consolas"/>
          <w:sz w:val="20"/>
        </w:rPr>
        <w:t>template/SKILL.md</w:t>
      </w:r>
      <w:r>
        <w:t xml:space="preserve"> models this layout.</w:t>
      </w:r>
    </w:p>
    <w:p>
      <w:pPr>
        <w:pStyle w:val="ListBullet"/>
      </w:pPr>
      <w:r>
        <w:rPr>
          <w:b/>
        </w:rPr>
        <w:t>Length budget:</w:t>
      </w:r>
      <w:r>
        <w:t xml:space="preserve"> aim under 400 lines. If you need more, push long reference material into a sibling </w:t>
      </w:r>
      <w:r>
        <w:rPr>
          <w:rFonts w:ascii="Consolas" w:hAnsi="Consolas"/>
          <w:sz w:val="20"/>
        </w:rPr>
        <w:t>references/</w:t>
      </w:r>
      <w:r>
        <w:t xml:space="preserve"> folder and link to it from the main file.</w:t>
      </w:r>
    </w:p>
    <w:p>
      <w:pPr>
        <w:pStyle w:val="ListBullet"/>
      </w:pPr>
      <w:r>
        <w:rPr>
          <w:b/>
        </w:rPr>
        <w:t>Voice:</w:t>
      </w:r>
      <w:r>
        <w:t xml:space="preserve"> imperative ("Read the file", "Ask the user", "Call the script"). No hedging. The document is instructions to Claude, not prose for humans.</w:t>
      </w:r>
    </w:p>
    <w:p>
      <w:pPr>
        <w:pStyle w:val="ListBullet"/>
      </w:pPr>
      <w:r>
        <w:rPr>
          <w:b/>
        </w:rPr>
        <w:t>Supporting files:</w:t>
      </w:r>
      <w:r>
        <w:t xml:space="preserve"> use the conventional subfolder names — </w:t>
      </w:r>
      <w:r>
        <w:rPr>
          <w:rFonts w:ascii="Consolas" w:hAnsi="Consolas"/>
          <w:sz w:val="20"/>
        </w:rPr>
        <w:t>scripts/</w:t>
      </w:r>
      <w:r>
        <w:t xml:space="preserve">, </w:t>
      </w:r>
      <w:r>
        <w:rPr>
          <w:rFonts w:ascii="Consolas" w:hAnsi="Consolas"/>
          <w:sz w:val="20"/>
        </w:rPr>
        <w:t>references/</w:t>
      </w:r>
      <w:r>
        <w:t xml:space="preserve">, </w:t>
      </w:r>
      <w:r>
        <w:rPr>
          <w:rFonts w:ascii="Consolas" w:hAnsi="Consolas"/>
          <w:sz w:val="20"/>
        </w:rPr>
        <w:t>assets/</w:t>
      </w:r>
      <w:r>
        <w:t xml:space="preserve">, </w:t>
      </w:r>
      <w:r>
        <w:rPr>
          <w:rFonts w:ascii="Consolas" w:hAnsi="Consolas"/>
          <w:sz w:val="20"/>
        </w:rPr>
        <w:t>examples/</w:t>
      </w:r>
      <w:r>
        <w:t xml:space="preserve">, </w:t>
      </w:r>
      <w:r>
        <w:rPr>
          <w:rFonts w:ascii="Consolas" w:hAnsi="Consolas"/>
          <w:sz w:val="20"/>
        </w:rPr>
        <w:t>templates/</w:t>
      </w:r>
      <w:r>
        <w:t xml:space="preserve">. Reference them by relative path from </w:t>
      </w:r>
      <w:r>
        <w:rPr>
          <w:rFonts w:ascii="Consolas" w:hAnsi="Consolas"/>
          <w:sz w:val="20"/>
        </w:rPr>
        <w:t>SKILL.md</w:t>
      </w:r>
      <w:r>
        <w:t>.</w:t>
      </w:r>
    </w:p>
    <w:p>
      <w:pPr>
        <w:pStyle w:val="ListBullet"/>
      </w:pPr>
      <w:r>
        <w:rPr>
          <w:b/>
        </w:rPr>
        <w:t>Guardrails section is mandatory.</w:t>
      </w:r>
      <w:r>
        <w:t xml:space="preserve"> List the hard rules the skill must obey ("Never modify files outside the requested directory", "Always confirm before deleting", etc.).</w:t>
      </w:r>
    </w:p>
    <w:p>
      <w:r>
        <w:t>____________________________________________________________</w:t>
      </w:r>
    </w:p>
    <w:p>
      <w:pPr>
        <w:pStyle w:val="Heading2"/>
      </w:pPr>
      <w:r>
        <w:t>5. Procedure — Adding a new company skill</w:t>
      </w:r>
    </w:p>
    <w:p>
      <w:pPr>
        <w:pStyle w:val="ListNumber"/>
      </w:pPr>
      <w:r>
        <w:rPr>
          <w:b/>
        </w:rPr>
        <w:t>Copy the template.</w:t>
      </w:r>
      <w:r>
        <w:t xml:space="preserve"> </w:t>
      </w:r>
      <w:r>
        <w:rPr>
          <w:rFonts w:ascii="Consolas" w:hAnsi="Consolas"/>
          <w:sz w:val="20"/>
        </w:rPr>
        <w:t>cp -r template/ skills/&lt;your-slug&gt;/</w:t>
      </w:r>
      <w:r>
        <w:t>.</w:t>
      </w:r>
    </w:p>
    <w:p>
      <w:pPr>
        <w:pStyle w:val="ListNumber"/>
      </w:pPr>
      <w:r>
        <w:rPr>
          <w:b/>
        </w:rPr>
        <w:t>Edit `SKILL.md`.</w:t>
      </w:r>
      <w:r>
        <w:t xml:space="preserve"> Fill in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description</w:t>
      </w:r>
      <w:r>
        <w:t xml:space="preserve">, </w:t>
      </w:r>
      <w:r>
        <w:rPr>
          <w:rFonts w:ascii="Consolas" w:hAnsi="Consolas"/>
          <w:sz w:val="20"/>
        </w:rPr>
        <w:t>license</w:t>
      </w:r>
      <w:r>
        <w:t>. Write the body following §4.</w:t>
      </w:r>
    </w:p>
    <w:p>
      <w:pPr>
        <w:pStyle w:val="ListNumber"/>
      </w:pPr>
      <w:r>
        <w:rPr>
          <w:b/>
        </w:rPr>
        <w:t>Add a `LICENSE.txt`.</w:t>
      </w:r>
      <w:r>
        <w:t xml:space="preserve"> Copy from a sibling skill with the same license class (Apache-2.0 or proprietary).</w:t>
      </w:r>
    </w:p>
    <w:p>
      <w:pPr>
        <w:pStyle w:val="ListNumber"/>
      </w:pPr>
      <w:r>
        <w:rPr>
          <w:b/>
        </w:rPr>
        <w:t>Register the skill.</w:t>
      </w:r>
      <w:r>
        <w:t xml:space="preserve"> Add the path to the appropriate plugin block in </w:t>
      </w:r>
      <w:r>
        <w:rPr>
          <w:rFonts w:ascii="Consolas" w:hAnsi="Consolas"/>
          <w:sz w:val="20"/>
        </w:rPr>
        <w:t>.claude-plugin/marketplace.json</w:t>
      </w:r>
      <w:r>
        <w:t>:</w:t>
      </w:r>
    </w:p>
    <w:p>
      <w:pPr>
        <w:pStyle w:val="ListBullet"/>
        <w:ind w:left="720"/>
      </w:pPr>
      <w:r>
        <w:t xml:space="preserve">Apache-2.0 example skill → </w:t>
      </w:r>
      <w:r>
        <w:rPr>
          <w:rFonts w:ascii="Consolas" w:hAnsi="Consolas"/>
          <w:sz w:val="20"/>
        </w:rPr>
        <w:t>example-skills</w:t>
      </w:r>
      <w:r>
        <w:t xml:space="preserve"> plugin</w:t>
      </w:r>
    </w:p>
    <w:p>
      <w:pPr>
        <w:pStyle w:val="ListBullet"/>
        <w:ind w:left="720"/>
      </w:pPr>
      <w:r>
        <w:t xml:space="preserve">Source-available document skill → </w:t>
      </w:r>
      <w:r>
        <w:rPr>
          <w:rFonts w:ascii="Consolas" w:hAnsi="Consolas"/>
          <w:sz w:val="20"/>
        </w:rPr>
        <w:t>document-skills</w:t>
      </w:r>
      <w:r>
        <w:t xml:space="preserve"> plugin</w:t>
      </w:r>
    </w:p>
    <w:p>
      <w:pPr>
        <w:pStyle w:val="ListBullet"/>
        <w:ind w:left="720"/>
      </w:pPr>
      <w:r>
        <w:t>Standalone → new plugin block with approval from Skills maintainers</w:t>
      </w:r>
    </w:p>
    <w:p>
      <w:pPr>
        <w:pStyle w:val="ListNumber"/>
      </w:pPr>
      <w:r>
        <w:rPr>
          <w:b/>
        </w:rPr>
        <w:t>Run `skill-creator` on your new skill.</w:t>
      </w:r>
      <w:r>
        <w:t xml:space="preserve"> It will check the description triggers accurately and help tune the prompt. See </w:t>
      </w:r>
      <w:r>
        <w:rPr>
          <w:rFonts w:ascii="Consolas" w:hAnsi="Consolas"/>
          <w:sz w:val="20"/>
        </w:rPr>
        <w:t>skills/skill-creator/SKILL.md</w:t>
      </w:r>
      <w:r>
        <w:t>.</w:t>
      </w:r>
    </w:p>
    <w:p>
      <w:pPr>
        <w:pStyle w:val="ListNumber"/>
      </w:pPr>
      <w:r>
        <w:rPr>
          <w:b/>
        </w:rPr>
        <w:t>Open a pull request.</w:t>
      </w:r>
      <w:r>
        <w:t xml:space="preserve"> The PR must include:</w:t>
      </w:r>
    </w:p>
    <w:p>
      <w:pPr>
        <w:pStyle w:val="ListBullet"/>
        <w:ind w:left="720"/>
      </w:pPr>
      <w:r>
        <w:t>A link to the skill's directory.</w:t>
      </w:r>
    </w:p>
    <w:p>
      <w:pPr>
        <w:pStyle w:val="ListBullet"/>
        <w:ind w:left="720"/>
      </w:pPr>
      <w:r>
        <w:t>A short "when this skill should trigger / when it should NOT trigger" note in the description.</w:t>
      </w:r>
    </w:p>
    <w:p>
      <w:pPr>
        <w:pStyle w:val="ListBullet"/>
        <w:ind w:left="720"/>
      </w:pPr>
      <w:r>
        <w:t>A test case or example showing the happy path.</w:t>
      </w:r>
    </w:p>
    <w:p>
      <w:pPr>
        <w:pStyle w:val="ListNumber"/>
      </w:pPr>
      <w:r>
        <w:rPr>
          <w:b/>
        </w:rPr>
        <w:t>Review.</w:t>
      </w:r>
      <w:r>
        <w:t xml:space="preserve"> Skills maintainers (see </w:t>
      </w:r>
      <w:r>
        <w:rPr>
          <w:rFonts w:ascii="Consolas" w:hAnsi="Consolas"/>
          <w:sz w:val="20"/>
        </w:rPr>
        <w:t>CODEOWNERS</w:t>
      </w:r>
      <w:r>
        <w:t xml:space="preserve"> once established) review for: frontmatter compliance, body style, license correctness, marketplace registration, and trigger accuracy.</w:t>
      </w:r>
    </w:p>
    <w:p>
      <w:pPr>
        <w:pStyle w:val="ListNumber"/>
      </w:pPr>
      <w:r>
        <w:rPr>
          <w:b/>
        </w:rPr>
        <w:t>Merge.</w:t>
      </w:r>
      <w:r>
        <w:t xml:space="preserve"> Only after all of the above.</w:t>
      </w:r>
    </w:p>
    <w:p>
      <w:pPr>
        <w:pStyle w:val="Heading2"/>
      </w:pPr>
      <w:r>
        <w:t>6. Procedure — Upstream sync</w:t>
      </w:r>
    </w:p>
    <w:p>
      <w:pPr>
        <w:pStyle w:val="ListNumber"/>
      </w:pPr>
      <w:r>
        <w:t xml:space="preserve">The designated sync owner (see rollout checklist in </w:t>
      </w:r>
      <w:r>
        <w:rPr>
          <w:rFonts w:ascii="Consolas" w:hAnsi="Consolas"/>
          <w:sz w:val="20"/>
        </w:rPr>
        <w:t>ENTERPRISE_OVERVIEW.md §6</w:t>
      </w:r>
      <w:r>
        <w:t xml:space="preserve">) runs </w:t>
      </w:r>
      <w:r>
        <w:rPr>
          <w:rFonts w:ascii="Consolas" w:hAnsi="Consolas"/>
          <w:sz w:val="20"/>
        </w:rPr>
        <w:t>git fetch upstream</w:t>
      </w:r>
      <w:r>
        <w:t xml:space="preserve"> on the agreed cadence.</w:t>
      </w:r>
    </w:p>
    <w:p>
      <w:pPr>
        <w:pStyle w:val="ListNumber"/>
      </w:pPr>
      <w:r>
        <w:t xml:space="preserve">Merge </w:t>
      </w:r>
      <w:r>
        <w:rPr>
          <w:rFonts w:ascii="Consolas" w:hAnsi="Consolas"/>
          <w:sz w:val="20"/>
        </w:rPr>
        <w:t>upstream/main</w:t>
      </w:r>
      <w:r>
        <w:t xml:space="preserve"> into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Number"/>
      </w:pPr>
      <w:r>
        <w:rPr>
          <w:b/>
        </w:rPr>
        <w:t>Do not rewrite the bodies of upstream skills in place.</w:t>
      </w:r>
      <w:r>
        <w:t xml:space="preserve"> If behavior must differ, fork the skill into a new directory (e.g. </w:t>
      </w:r>
      <w:r>
        <w:rPr>
          <w:rFonts w:ascii="Consolas" w:hAnsi="Consolas"/>
          <w:sz w:val="20"/>
        </w:rPr>
        <w:t>skills/internal-comms-acme/</w:t>
      </w:r>
      <w:r>
        <w:t xml:space="preserve">) and register the fork in </w:t>
      </w:r>
      <w:r>
        <w:rPr>
          <w:rFonts w:ascii="Consolas" w:hAnsi="Consolas"/>
          <w:sz w:val="20"/>
        </w:rPr>
        <w:t>marketplace.json</w:t>
      </w:r>
      <w:r>
        <w:t>.</w:t>
      </w:r>
    </w:p>
    <w:p>
      <w:pPr>
        <w:pStyle w:val="ListNumber"/>
      </w:pPr>
      <w:r>
        <w:t>Resolve conflicts in company-authored files (</w:t>
      </w:r>
      <w:r>
        <w:rPr>
          <w:rFonts w:ascii="Consolas" w:hAnsi="Consolas"/>
          <w:sz w:val="20"/>
        </w:rPr>
        <w:t>README.md</w:t>
      </w:r>
      <w:r>
        <w:t xml:space="preserve"> Enterprise section, </w:t>
      </w:r>
      <w:r>
        <w:rPr>
          <w:rFonts w:ascii="Consolas" w:hAnsi="Consolas"/>
          <w:sz w:val="20"/>
        </w:rPr>
        <w:t>ENTERPRISE_OVERVIEW.md</w:t>
      </w:r>
      <w:r>
        <w:t>, any company skills) by preserving the company version.</w:t>
      </w:r>
    </w:p>
    <w:p>
      <w:pPr>
        <w:pStyle w:val="ListNumber"/>
      </w:pPr>
      <w:r>
        <w:t>Re-run the audit checks: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grep -L '^license:' skills/*/SKILL.md</w:t>
      </w:r>
      <w:r>
        <w:t xml:space="preserve"> → empty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python3 -c "import json; json.load(open('.claude-plugin/marketplace.json'))"</w:t>
      </w:r>
      <w:r>
        <w:t xml:space="preserve"> → passes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grep -rn '&lt;&lt;&lt;&lt;&lt;&lt;&lt;' skills/</w:t>
      </w:r>
      <w:r>
        <w:t xml:space="preserve"> → empty</w:t>
      </w:r>
    </w:p>
    <w:p>
      <w:pPr>
        <w:pStyle w:val="ListNumber"/>
      </w:pPr>
      <w:r>
        <w:t xml:space="preserve">Open a PR titled </w:t>
      </w:r>
      <w:r>
        <w:rPr>
          <w:rFonts w:ascii="Consolas" w:hAnsi="Consolas"/>
          <w:sz w:val="20"/>
        </w:rPr>
        <w:t>chore: upstream sync &lt;YYYY-MM-DD&gt;</w:t>
      </w:r>
      <w:r>
        <w:t xml:space="preserve"> and have a second maintainer review before merge.</w:t>
      </w:r>
    </w:p>
    <w:p>
      <w:pPr>
        <w:pStyle w:val="Heading2"/>
      </w:pPr>
      <w:r>
        <w:t>7. Guardrails — repo-wide</w:t>
      </w:r>
    </w:p>
    <w:p>
      <w:pPr>
        <w:pStyle w:val="ListBullet"/>
      </w:pPr>
      <w:r>
        <w:rPr>
          <w:b/>
        </w:rPr>
        <w:t>License split is semantic, not cosmetic.</w:t>
      </w:r>
      <w:r>
        <w:t xml:space="preserve"> The four document skills (</w:t>
      </w:r>
      <w:r>
        <w:rPr>
          <w:rFonts w:ascii="Consolas" w:hAnsi="Consolas"/>
          <w:sz w:val="20"/>
        </w:rPr>
        <w:t>docx</w:t>
      </w:r>
      <w:r>
        <w:t xml:space="preserve">, </w:t>
      </w:r>
      <w:r>
        <w:rPr>
          <w:rFonts w:ascii="Consolas" w:hAnsi="Consolas"/>
          <w:sz w:val="20"/>
        </w:rPr>
        <w:t>pdf</w:t>
      </w:r>
      <w:r>
        <w:t xml:space="preserve">, </w:t>
      </w:r>
      <w:r>
        <w:rPr>
          <w:rFonts w:ascii="Consolas" w:hAnsi="Consolas"/>
          <w:sz w:val="20"/>
        </w:rPr>
        <w:t>pptx</w:t>
      </w:r>
      <w:r>
        <w:t xml:space="preserve">, </w:t>
      </w:r>
      <w:r>
        <w:rPr>
          <w:rFonts w:ascii="Consolas" w:hAnsi="Consolas"/>
          <w:sz w:val="20"/>
        </w:rPr>
        <w:t>xlsx</w:t>
      </w:r>
      <w:r>
        <w:t>) are source-available / proprietary. They must not be bundled into externally distributed marketplaces without legal sign-off. All other skills are Apache-2.0.</w:t>
      </w:r>
    </w:p>
    <w:p>
      <w:pPr>
        <w:pStyle w:val="ListBullet"/>
      </w:pPr>
      <w:r>
        <w:rPr>
          <w:b/>
        </w:rPr>
        <w:t>Third-party notices</w:t>
      </w:r>
      <w:r>
        <w:t xml:space="preserve"> in </w:t>
      </w:r>
      <w:r>
        <w:rPr>
          <w:rFonts w:ascii="Consolas" w:hAnsi="Consolas"/>
          <w:sz w:val="20"/>
        </w:rPr>
        <w:t>THIRD_PARTY_NOTICES.md</w:t>
      </w:r>
      <w:r>
        <w:t xml:space="preserve"> travel with the document skills. Preserve the file when redistributing.</w:t>
      </w:r>
    </w:p>
    <w:p>
      <w:pPr>
        <w:pStyle w:val="ListBullet"/>
      </w:pPr>
      <w:r>
        <w:rPr>
          <w:b/>
        </w:rPr>
        <w:t>The upstream disclaimer is our floor:</w:t>
      </w:r>
      <w:r>
        <w:t xml:space="preserve"> test every skill in your own environment before relying on it for critical tasks.</w:t>
      </w:r>
    </w:p>
    <w:p>
      <w:pPr>
        <w:pStyle w:val="Heading2"/>
      </w:pPr>
      <w:r>
        <w:t>8. Guardrails — per skill</w:t>
      </w:r>
    </w:p>
    <w:p>
      <w:r>
        <w:t xml:space="preserve">Each skill encodes its own rules in its </w:t>
      </w:r>
      <w:r>
        <w:rPr>
          <w:rFonts w:ascii="Consolas" w:hAnsi="Consolas"/>
          <w:sz w:val="20"/>
        </w:rPr>
        <w:t>Guardrails</w:t>
      </w:r>
      <w:r>
        <w:t xml:space="preserve"> section. A few patterns worth highlighting:</w:t>
      </w:r>
    </w:p>
    <w:p>
      <w:pPr>
        <w:pStyle w:val="ListBullet"/>
      </w:pPr>
      <w:r>
        <w:rPr>
          <w:b/>
        </w:rPr>
        <w:t>`algorithmic-art`, `canvas-design`</w:t>
      </w:r>
      <w:r>
        <w:t xml:space="preserve"> — produce </w:t>
      </w:r>
      <w:r>
        <w:rPr>
          <w:b/>
        </w:rPr>
        <w:t>original</w:t>
      </w:r>
      <w:r>
        <w:t xml:space="preserve"> work only; do not copy existing artists.</w:t>
      </w:r>
    </w:p>
    <w:p>
      <w:pPr>
        <w:pStyle w:val="ListBullet"/>
      </w:pPr>
      <w:r>
        <w:rPr>
          <w:b/>
        </w:rPr>
        <w:t>`webapp-testing`</w:t>
      </w:r>
      <w:r>
        <w:t xml:space="preserve"> — runs Playwright. Target local or staging endpoints only.</w:t>
      </w:r>
    </w:p>
    <w:p>
      <w:pPr>
        <w:pStyle w:val="ListBullet"/>
      </w:pPr>
      <w:r>
        <w:rPr>
          <w:b/>
        </w:rPr>
        <w:t>`skill-creator`</w:t>
      </w:r>
      <w:r>
        <w:t xml:space="preserve"> — run new skills through its evaluation loop before merging.</w:t>
      </w:r>
    </w:p>
    <w:p>
      <w:pPr>
        <w:pStyle w:val="ListBullet"/>
      </w:pPr>
      <w:r>
        <w:rPr>
          <w:b/>
        </w:rPr>
        <w:t>`claude-api`</w:t>
      </w:r>
      <w:r>
        <w:t xml:space="preserve"> — the reference example for the </w:t>
      </w:r>
      <w:r>
        <w:rPr>
          <w:rFonts w:ascii="Consolas" w:hAnsi="Consolas"/>
          <w:sz w:val="20"/>
        </w:rPr>
        <w:t>TRIGGER when:</w:t>
      </w:r>
      <w:r>
        <w:t xml:space="preserve"> / </w:t>
      </w:r>
      <w:r>
        <w:rPr>
          <w:rFonts w:ascii="Consolas" w:hAnsi="Consolas"/>
          <w:sz w:val="20"/>
        </w:rPr>
        <w:t>DO NOT TRIGGER when:</w:t>
      </w:r>
      <w:r>
        <w:t xml:space="preserve"> description pattern.</w:t>
      </w:r>
    </w:p>
    <w:p>
      <w:r>
        <w:t>____________________________________________________________</w:t>
      </w:r>
    </w:p>
    <w:p>
      <w:pPr>
        <w:pStyle w:val="Heading2"/>
      </w:pPr>
      <w:r>
        <w:t>9. Documentation standards (non-skill Markdown)</w:t>
      </w:r>
    </w:p>
    <w:p>
      <w:r>
        <w:t xml:space="preserve">For company Markdown docs that are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SKILL.md</w:t>
      </w:r>
      <w:r>
        <w:t xml:space="preserve"> files:</w:t>
      </w:r>
    </w:p>
    <w:p>
      <w:pPr>
        <w:pStyle w:val="ListBullet"/>
      </w:pPr>
      <w:r>
        <w:t>Use the same section-order discipline: start with the point, follow with details.</w:t>
      </w:r>
    </w:p>
    <w:p>
      <w:pPr>
        <w:pStyle w:val="ListBullet"/>
      </w:pPr>
      <w:r>
        <w:t>Prefer tables for lists of structured data (fields, options, files).</w:t>
      </w:r>
    </w:p>
    <w:p>
      <w:pPr>
        <w:pStyle w:val="ListBullet"/>
      </w:pPr>
      <w:r>
        <w:t>Use fenced code blocks for commands and configuration.</w:t>
      </w:r>
    </w:p>
    <w:p>
      <w:pPr>
        <w:pStyle w:val="ListBullet"/>
      </w:pPr>
      <w:r>
        <w:t>Relative links within the repo; absolute links for external references.</w:t>
      </w:r>
    </w:p>
    <w:p>
      <w:pPr>
        <w:pStyle w:val="ListBullet"/>
      </w:pPr>
      <w:r>
        <w:t xml:space="preserve">One </w:t>
      </w:r>
      <w:r>
        <w:rPr>
          <w:rFonts w:ascii="Consolas" w:hAnsi="Consolas"/>
          <w:sz w:val="20"/>
        </w:rPr>
        <w:t>H1</w:t>
      </w:r>
      <w:r>
        <w:t xml:space="preserve"> per document (the title). Body sections are </w:t>
      </w:r>
      <w:r>
        <w:rPr>
          <w:rFonts w:ascii="Consolas" w:hAnsi="Consolas"/>
          <w:sz w:val="20"/>
        </w:rPr>
        <w:t>H2</w:t>
      </w:r>
      <w:r>
        <w:t xml:space="preserve"> and below.</w:t>
      </w:r>
    </w:p>
    <w:p>
      <w:pPr>
        <w:pStyle w:val="ListBullet"/>
      </w:pPr>
      <w:r>
        <w:t>Keep line-length reasonable for Git diffs (no strict limit; avoid 500-character run-on lines).</w:t>
      </w:r>
    </w:p>
    <w:p>
      <w:pPr>
        <w:pStyle w:val="Heading2"/>
      </w:pPr>
      <w:r>
        <w:t>10. Governance</w:t>
      </w:r>
    </w:p>
    <w:p>
      <w:pPr>
        <w:pStyle w:val="ListBullet"/>
      </w:pPr>
      <w:r>
        <w:rPr>
          <w:b/>
        </w:rPr>
        <w:t>Canonical source:</w:t>
      </w:r>
      <w:r>
        <w:t xml:space="preserve"> the </w:t>
      </w:r>
      <w:r>
        <w:rPr>
          <w:rFonts w:ascii="Consolas" w:hAnsi="Consolas"/>
          <w:sz w:val="20"/>
        </w:rPr>
        <w:t>Skills-fork</w:t>
      </w:r>
      <w:r>
        <w:t xml:space="preserve"> repository. Everything else is derived.</w:t>
      </w:r>
    </w:p>
    <w:p>
      <w:pPr>
        <w:pStyle w:val="ListBullet"/>
      </w:pPr>
      <w:r>
        <w:rPr>
          <w:b/>
        </w:rPr>
        <w:t>Ownership:</w:t>
      </w:r>
      <w:r>
        <w:t xml:space="preserve"> Skills maintainers (defined in </w:t>
      </w:r>
      <w:r>
        <w:rPr>
          <w:rFonts w:ascii="Consolas" w:hAnsi="Consolas"/>
          <w:sz w:val="20"/>
        </w:rPr>
        <w:t>CODEOWNERS</w:t>
      </w:r>
      <w:r>
        <w:t xml:space="preserve"> once established).</w:t>
      </w:r>
    </w:p>
    <w:p>
      <w:pPr>
        <w:pStyle w:val="ListBullet"/>
      </w:pPr>
      <w:r>
        <w:rPr>
          <w:b/>
        </w:rPr>
        <w:t>Change process:</w:t>
      </w:r>
      <w:r>
        <w:t xml:space="preserve"> PRs only. No direct pushes to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rPr>
          <w:b/>
        </w:rPr>
        <w:t>Exceptions:</w:t>
      </w:r>
      <w:r>
        <w:t xml:space="preserve"> if you need an exception to any standard in this document, include the justification in the PR description and tag the Skills maintainers for explicit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