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3487"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CZ - Automatic KYC Review Rule: </w:t>
      </w:r>
    </w:p>
    <w:p w14:paraId="556011E8" w14:textId="77777777" w:rsidR="00875CD3" w:rsidRPr="00875CD3" w:rsidRDefault="00875CD3" w:rsidP="00875CD3">
      <w:pPr>
        <w:spacing w:after="0"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 </w:t>
      </w:r>
    </w:p>
    <w:p w14:paraId="619BDCA7"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For the detailed breakdown of the Periodic Review process and workflow, refer to item 7. Notwithstanding, the requirements in scope are as follow.</w:t>
      </w:r>
    </w:p>
    <w:p w14:paraId="336CD7AC"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Based on the customer’s risk score, the CRR system determines the next review date. If the customers represent a high risk to UniCredit, then they will be reviewed more often compared to medium or low-risk customers. The Risk Category table defines the rereview period based on the score ranges.</w:t>
      </w:r>
    </w:p>
    <w:p w14:paraId="719AB5A0"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The following will be the Period Review deadlines:</w:t>
      </w:r>
    </w:p>
    <w:p w14:paraId="5736BAA7" w14:textId="77777777" w:rsidR="00875CD3" w:rsidRPr="00875CD3" w:rsidRDefault="00875CD3" w:rsidP="00875CD3">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High Risk Customers: 1 year;</w:t>
      </w:r>
    </w:p>
    <w:p w14:paraId="69A37859" w14:textId="77777777" w:rsidR="00875CD3" w:rsidRPr="00875CD3" w:rsidRDefault="00875CD3" w:rsidP="00875CD3">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Medium Risk Customers: 3 years; and</w:t>
      </w:r>
    </w:p>
    <w:p w14:paraId="3F4CECD0" w14:textId="77777777" w:rsidR="00875CD3" w:rsidRPr="00875CD3" w:rsidRDefault="00875CD3" w:rsidP="00875CD3">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Low Risk Customers: 5 years.</w:t>
      </w:r>
    </w:p>
    <w:p w14:paraId="0525B26B"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If during the overnight batch the customer’s risk rating decreases from high-risk with unwanted status to any other risk classification[KC1] [GA(2] , from high-risk to medium-risk, from high-risk to low-risk or from medium-risk to low-risk, the KYC review date does not change and no other actions are required in the CRR module. The information about the block removal shall be send to the local system in case the customer was previously rated as high-risk unwanted.</w:t>
      </w:r>
    </w:p>
    <w:p w14:paraId="123A77F5"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If during the overnight batch the customer risk rating increases from low-risk to medium-risk, from low-risk to high-risk or from medium-risk to high-risk  [YJ3] an ad-hoc review should be triggered by the CRR module, and the next KYC review date should be changed to D+60. The date shall not be changed if the current expiry date is less than 60 days. The block setting will be managed by the local application based on Oracles CRR instruction.</w:t>
      </w:r>
    </w:p>
    <w:p w14:paraId="6818B79C"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During batch back feeding process the CRR module shall instruct the local system to set the AML Block in case of a new high-risk unwanted customer.</w:t>
      </w:r>
    </w:p>
    <w:p w14:paraId="1748D210"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 xml:space="preserve">Under the Periodic Review, there will be some customers that will be Automatically reviewed by the system, while others will require human intervention. A set of rules, listed below, will be configured to determine eligibility for Automatic KYC Review. For customers who do not meet said rules, an </w:t>
      </w:r>
      <w:r w:rsidRPr="00875CD3">
        <w:rPr>
          <w:rFonts w:ascii="Segoe UI" w:eastAsia="Times New Roman" w:hAnsi="Segoe UI" w:cs="Segoe UI"/>
          <w:i/>
          <w:iCs/>
          <w:kern w:val="0"/>
          <w:sz w:val="21"/>
          <w:szCs w:val="21"/>
          <w14:ligatures w14:val="none"/>
        </w:rPr>
        <w:t>ad hoc</w:t>
      </w:r>
      <w:r w:rsidRPr="00875CD3">
        <w:rPr>
          <w:rFonts w:ascii="Segoe UI" w:eastAsia="Times New Roman" w:hAnsi="Segoe UI" w:cs="Segoe UI"/>
          <w:kern w:val="0"/>
          <w:sz w:val="21"/>
          <w:szCs w:val="21"/>
          <w14:ligatures w14:val="none"/>
        </w:rPr>
        <w:t xml:space="preserve"> KYC Review will be triggered.[AG4] [JC5] [GA(6]</w:t>
      </w:r>
    </w:p>
    <w:p w14:paraId="5FAF62FD"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 xml:space="preserve">One of the requirements for a customer to be eligible for Automatic KYC Review, as per the below list, is that the respective ID document cannot be expired. At UCB CZ a process for the updating of expired documents ahead of the automatic KYC review is available. As such, one first check of the customer’s eligibility is to be performed to verify whether the customer’s ID document is expired or not. This check will be performed </w:t>
      </w:r>
      <w:r w:rsidRPr="00875CD3">
        <w:rPr>
          <w:rFonts w:ascii="Segoe UI" w:eastAsia="Times New Roman" w:hAnsi="Segoe UI" w:cs="Segoe UI"/>
          <w:b/>
          <w:bCs/>
          <w:kern w:val="0"/>
          <w:sz w:val="21"/>
          <w:szCs w:val="21"/>
          <w:u w:val="single"/>
          <w14:ligatures w14:val="none"/>
        </w:rPr>
        <w:t>130 days</w:t>
      </w:r>
      <w:r w:rsidRPr="00875CD3">
        <w:rPr>
          <w:rFonts w:ascii="Segoe UI" w:eastAsia="Times New Roman" w:hAnsi="Segoe UI" w:cs="Segoe UI"/>
          <w:kern w:val="0"/>
          <w:sz w:val="21"/>
          <w:szCs w:val="21"/>
          <w14:ligatures w14:val="none"/>
        </w:rPr>
        <w:t xml:space="preserve"> (</w:t>
      </w:r>
      <w:r w:rsidRPr="00875CD3">
        <w:rPr>
          <w:rFonts w:ascii="Segoe UI" w:eastAsia="Times New Roman" w:hAnsi="Segoe UI" w:cs="Segoe UI"/>
          <w:b/>
          <w:bCs/>
          <w:kern w:val="0"/>
          <w:sz w:val="21"/>
          <w:szCs w:val="21"/>
          <w:u w:val="single"/>
          <w14:ligatures w14:val="none"/>
        </w:rPr>
        <w:t>D-130</w:t>
      </w:r>
      <w:r w:rsidRPr="00875CD3">
        <w:rPr>
          <w:rFonts w:ascii="Segoe UI" w:eastAsia="Times New Roman" w:hAnsi="Segoe UI" w:cs="Segoe UI"/>
          <w:kern w:val="0"/>
          <w:sz w:val="21"/>
          <w:szCs w:val="21"/>
          <w14:ligatures w14:val="none"/>
        </w:rPr>
        <w:t>) before the KYC expiration date / Next Review date. If the document is expired, or it will expire within 30 days, a notification will be sent to Local Operations with a list of customers eligible for Automatic KYC Review that have the document expired.[KC7] [GA(8] [AG9] [JC10] [CM(C11]</w:t>
      </w:r>
    </w:p>
    <w:p w14:paraId="66756012"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 xml:space="preserve">After this check, </w:t>
      </w:r>
      <w:r w:rsidRPr="00875CD3">
        <w:rPr>
          <w:rFonts w:ascii="Segoe UI" w:eastAsia="Times New Roman" w:hAnsi="Segoe UI" w:cs="Segoe UI"/>
          <w:b/>
          <w:bCs/>
          <w:kern w:val="0"/>
          <w:sz w:val="21"/>
          <w:szCs w:val="21"/>
          <w:u w:val="single"/>
          <w14:ligatures w14:val="none"/>
        </w:rPr>
        <w:t>100 days</w:t>
      </w:r>
      <w:r w:rsidRPr="00875CD3">
        <w:rPr>
          <w:rFonts w:ascii="Segoe UI" w:eastAsia="Times New Roman" w:hAnsi="Segoe UI" w:cs="Segoe UI"/>
          <w:kern w:val="0"/>
          <w:sz w:val="21"/>
          <w:szCs w:val="21"/>
          <w14:ligatures w14:val="none"/>
        </w:rPr>
        <w:t xml:space="preserve"> (</w:t>
      </w:r>
      <w:r w:rsidRPr="00875CD3">
        <w:rPr>
          <w:rFonts w:ascii="Segoe UI" w:eastAsia="Times New Roman" w:hAnsi="Segoe UI" w:cs="Segoe UI"/>
          <w:b/>
          <w:bCs/>
          <w:kern w:val="0"/>
          <w:sz w:val="21"/>
          <w:szCs w:val="21"/>
          <w:u w:val="single"/>
          <w14:ligatures w14:val="none"/>
        </w:rPr>
        <w:t>D-100</w:t>
      </w:r>
      <w:r w:rsidRPr="00875CD3">
        <w:rPr>
          <w:rFonts w:ascii="Segoe UI" w:eastAsia="Times New Roman" w:hAnsi="Segoe UI" w:cs="Segoe UI"/>
          <w:kern w:val="0"/>
          <w:sz w:val="21"/>
          <w:szCs w:val="21"/>
          <w14:ligatures w14:val="none"/>
        </w:rPr>
        <w:t xml:space="preserve">) before the KYC expiration date / Next Review date a second eligibility check is performed and all customers meeting all rules (including the up-to-date ID </w:t>
      </w:r>
      <w:r w:rsidRPr="00875CD3">
        <w:rPr>
          <w:rFonts w:ascii="Segoe UI" w:eastAsia="Times New Roman" w:hAnsi="Segoe UI" w:cs="Segoe UI"/>
          <w:kern w:val="0"/>
          <w:sz w:val="21"/>
          <w:szCs w:val="21"/>
          <w14:ligatures w14:val="none"/>
        </w:rPr>
        <w:lastRenderedPageBreak/>
        <w:t xml:space="preserve">document) are automatically reviewed, their risk score is updated and, with this update, if the requirements for the </w:t>
      </w:r>
      <w:r w:rsidRPr="00875CD3">
        <w:rPr>
          <w:rFonts w:ascii="Segoe UI" w:eastAsia="Times New Roman" w:hAnsi="Segoe UI" w:cs="Segoe UI"/>
          <w:i/>
          <w:iCs/>
          <w:kern w:val="0"/>
          <w:sz w:val="21"/>
          <w:szCs w:val="21"/>
          <w14:ligatures w14:val="none"/>
        </w:rPr>
        <w:t>ad hoc </w:t>
      </w:r>
      <w:r w:rsidRPr="00875CD3">
        <w:rPr>
          <w:rFonts w:ascii="Segoe UI" w:eastAsia="Times New Roman" w:hAnsi="Segoe UI" w:cs="Segoe UI"/>
          <w:kern w:val="0"/>
          <w:sz w:val="21"/>
          <w:szCs w:val="21"/>
          <w14:ligatures w14:val="none"/>
        </w:rPr>
        <w:t>KYC Review aren’t met (</w:t>
      </w:r>
      <w:r w:rsidRPr="00875CD3">
        <w:rPr>
          <w:rFonts w:ascii="Segoe UI" w:eastAsia="Times New Roman" w:hAnsi="Segoe UI" w:cs="Segoe UI"/>
          <w:i/>
          <w:iCs/>
          <w:kern w:val="0"/>
          <w:sz w:val="21"/>
          <w:szCs w:val="21"/>
          <w14:ligatures w14:val="none"/>
        </w:rPr>
        <w:t>e.g.</w:t>
      </w:r>
      <w:r w:rsidRPr="00875CD3">
        <w:rPr>
          <w:rFonts w:ascii="Segoe UI" w:eastAsia="Times New Roman" w:hAnsi="Segoe UI" w:cs="Segoe UI"/>
          <w:kern w:val="0"/>
          <w:sz w:val="21"/>
          <w:szCs w:val="21"/>
          <w14:ligatures w14:val="none"/>
        </w:rPr>
        <w:t>, risk increases to a higher category)[KM(C12] [CM(C13] [BW(14] [GA(15] [JC16] [KC17] , the next review date is updated as well in accordance with the customer’s respective risk category (5 years for low risk and 3 years for medium risk).[KC18] [MN(19] [GA(20]</w:t>
      </w:r>
    </w:p>
    <w:p w14:paraId="3FF37C6A"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 xml:space="preserve">If after the </w:t>
      </w:r>
      <w:r w:rsidRPr="00875CD3">
        <w:rPr>
          <w:rFonts w:ascii="Segoe UI" w:eastAsia="Times New Roman" w:hAnsi="Segoe UI" w:cs="Segoe UI"/>
          <w:b/>
          <w:bCs/>
          <w:kern w:val="0"/>
          <w:sz w:val="21"/>
          <w:szCs w:val="21"/>
          <w:u w:val="single"/>
          <w14:ligatures w14:val="none"/>
        </w:rPr>
        <w:t>100 days (D-0)</w:t>
      </w:r>
      <w:r w:rsidRPr="00875CD3">
        <w:rPr>
          <w:rFonts w:ascii="Segoe UI" w:eastAsia="Times New Roman" w:hAnsi="Segoe UI" w:cs="Segoe UI"/>
          <w:kern w:val="0"/>
          <w:sz w:val="21"/>
          <w:szCs w:val="21"/>
          <w14:ligatures w14:val="none"/>
        </w:rPr>
        <w:t xml:space="preserve"> the KYC Review wasn’t yet performed, on the KYC Expiration Date / Next Review Date, the KYC Review is set in “overdue” status, and the Relationship Manager is informed that the KYC Review was expired through a notification. During batch backfeeding process, the KYC expiration is informed, allowing UCB CZ to set the AML Block[KC21] [MN(22] .</w:t>
      </w:r>
    </w:p>
    <w:p w14:paraId="7AF8BB3B"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The relationship manager/KYC unit/back office and local AFC shall have the possibility to see which of their customers will be automatically reviewed in the upcoming months and to be able to intervene in the process and perform a manual KYC review or trigger the customer termination. [KM(C23] [MN(24]</w:t>
      </w:r>
    </w:p>
    <w:p w14:paraId="3333C6A3"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Until the KYC Review is done, the system will send weekly notifications/reminders to the Relationship Managers of all customers with reviews expiring that week. When the RM performs the KYC Review, the next Periodic Review date is set in accordance with the customer’s risk category.</w:t>
      </w:r>
    </w:p>
    <w:p w14:paraId="64582CF6"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 </w:t>
      </w:r>
    </w:p>
    <w:p w14:paraId="25C1B9BA"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The following are the Automatic KYC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313"/>
        <w:gridCol w:w="1212"/>
        <w:gridCol w:w="3059"/>
        <w:gridCol w:w="3352"/>
      </w:tblGrid>
      <w:tr w:rsidR="00875CD3" w:rsidRPr="00875CD3" w14:paraId="67EEE5DB" w14:textId="77777777">
        <w:trPr>
          <w:tblHeader/>
          <w:tblCellSpacing w:w="15" w:type="dxa"/>
        </w:trPr>
        <w:tc>
          <w:tcPr>
            <w:tcW w:w="0" w:type="auto"/>
            <w:vAlign w:val="center"/>
            <w:hideMark/>
          </w:tcPr>
          <w:p w14:paraId="13FEDEAD" w14:textId="77777777" w:rsidR="00875CD3" w:rsidRPr="00875CD3" w:rsidRDefault="00875CD3" w:rsidP="00875CD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75CD3">
              <w:rPr>
                <w:rFonts w:ascii="Times New Roman" w:eastAsia="Times New Roman" w:hAnsi="Times New Roman" w:cs="Times New Roman"/>
                <w:b/>
                <w:bCs/>
                <w:kern w:val="0"/>
                <w14:ligatures w14:val="none"/>
              </w:rPr>
              <w:t>Type</w:t>
            </w:r>
          </w:p>
        </w:tc>
        <w:tc>
          <w:tcPr>
            <w:tcW w:w="0" w:type="auto"/>
            <w:vAlign w:val="center"/>
            <w:hideMark/>
          </w:tcPr>
          <w:p w14:paraId="33B15EFA" w14:textId="77777777" w:rsidR="00875CD3" w:rsidRPr="00875CD3" w:rsidRDefault="00875CD3" w:rsidP="00875CD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75CD3">
              <w:rPr>
                <w:rFonts w:ascii="Times New Roman" w:eastAsia="Times New Roman" w:hAnsi="Times New Roman" w:cs="Times New Roman"/>
                <w:b/>
                <w:bCs/>
                <w:kern w:val="0"/>
                <w14:ligatures w14:val="none"/>
              </w:rPr>
              <w:t>ID</w:t>
            </w:r>
          </w:p>
        </w:tc>
        <w:tc>
          <w:tcPr>
            <w:tcW w:w="0" w:type="auto"/>
            <w:vAlign w:val="center"/>
            <w:hideMark/>
          </w:tcPr>
          <w:p w14:paraId="36956547" w14:textId="77777777" w:rsidR="00875CD3" w:rsidRPr="00875CD3" w:rsidRDefault="00875CD3" w:rsidP="00875CD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75CD3">
              <w:rPr>
                <w:rFonts w:ascii="Times New Roman" w:eastAsia="Times New Roman" w:hAnsi="Times New Roman" w:cs="Times New Roman"/>
                <w:b/>
                <w:bCs/>
                <w:kern w:val="0"/>
                <w14:ligatures w14:val="none"/>
              </w:rPr>
              <w:t>Rule Cluster</w:t>
            </w:r>
          </w:p>
        </w:tc>
        <w:tc>
          <w:tcPr>
            <w:tcW w:w="0" w:type="auto"/>
            <w:vAlign w:val="center"/>
            <w:hideMark/>
          </w:tcPr>
          <w:p w14:paraId="1C5B2113" w14:textId="77777777" w:rsidR="00875CD3" w:rsidRPr="00875CD3" w:rsidRDefault="00875CD3" w:rsidP="00875CD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75CD3">
              <w:rPr>
                <w:rFonts w:ascii="Times New Roman" w:eastAsia="Times New Roman" w:hAnsi="Times New Roman" w:cs="Times New Roman"/>
                <w:b/>
                <w:bCs/>
                <w:kern w:val="0"/>
                <w14:ligatures w14:val="none"/>
              </w:rPr>
              <w:t>Variable</w:t>
            </w:r>
          </w:p>
        </w:tc>
        <w:tc>
          <w:tcPr>
            <w:tcW w:w="0" w:type="auto"/>
            <w:vAlign w:val="center"/>
            <w:hideMark/>
          </w:tcPr>
          <w:p w14:paraId="6F1085EE" w14:textId="77777777" w:rsidR="00875CD3" w:rsidRPr="00875CD3" w:rsidRDefault="00875CD3" w:rsidP="00875CD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75CD3">
              <w:rPr>
                <w:rFonts w:ascii="Times New Roman" w:eastAsia="Times New Roman" w:hAnsi="Times New Roman" w:cs="Times New Roman"/>
                <w:b/>
                <w:bCs/>
                <w:kern w:val="0"/>
                <w14:ligatures w14:val="none"/>
              </w:rPr>
              <w:t>Rule Descriptiondoma</w:t>
            </w:r>
          </w:p>
        </w:tc>
      </w:tr>
      <w:tr w:rsidR="00875CD3" w:rsidRPr="00875CD3" w14:paraId="4D5F4EE6" w14:textId="77777777">
        <w:trPr>
          <w:tblCellSpacing w:w="15" w:type="dxa"/>
        </w:trPr>
        <w:tc>
          <w:tcPr>
            <w:tcW w:w="0" w:type="auto"/>
            <w:vMerge w:val="restart"/>
            <w:vAlign w:val="center"/>
            <w:hideMark/>
          </w:tcPr>
          <w:p w14:paraId="52F50010"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b/>
                <w:bCs/>
                <w:kern w:val="0"/>
                <w14:ligatures w14:val="none"/>
              </w:rPr>
              <w:t>Individual persons</w:t>
            </w:r>
          </w:p>
        </w:tc>
        <w:tc>
          <w:tcPr>
            <w:tcW w:w="0" w:type="auto"/>
            <w:vAlign w:val="center"/>
            <w:hideMark/>
          </w:tcPr>
          <w:p w14:paraId="1C10492C"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1</w:t>
            </w:r>
          </w:p>
        </w:tc>
        <w:tc>
          <w:tcPr>
            <w:tcW w:w="0" w:type="auto"/>
            <w:vAlign w:val="center"/>
            <w:hideMark/>
          </w:tcPr>
          <w:p w14:paraId="37D3CAEB"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Customer Typology</w:t>
            </w:r>
          </w:p>
        </w:tc>
        <w:tc>
          <w:tcPr>
            <w:tcW w:w="0" w:type="auto"/>
            <w:vAlign w:val="center"/>
            <w:hideMark/>
          </w:tcPr>
          <w:p w14:paraId="531C5A1C"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Individuals</w:t>
            </w:r>
          </w:p>
        </w:tc>
        <w:tc>
          <w:tcPr>
            <w:tcW w:w="0" w:type="auto"/>
            <w:vAlign w:val="center"/>
            <w:hideMark/>
          </w:tcPr>
          <w:p w14:paraId="01B9BB9E"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The client is an individual, excluding private banking &amp; wealth management segment. No PB customers (neither IND nor LP) are eligible for automatic KYC Review. As such, this shall only apply to Retail customers.</w:t>
            </w:r>
          </w:p>
        </w:tc>
      </w:tr>
      <w:tr w:rsidR="00875CD3" w:rsidRPr="00875CD3" w14:paraId="5D3F3957" w14:textId="77777777">
        <w:trPr>
          <w:tblCellSpacing w:w="15" w:type="dxa"/>
        </w:trPr>
        <w:tc>
          <w:tcPr>
            <w:tcW w:w="0" w:type="auto"/>
            <w:vMerge/>
            <w:vAlign w:val="center"/>
            <w:hideMark/>
          </w:tcPr>
          <w:p w14:paraId="5C62B7BB"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522F5A2C"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2</w:t>
            </w:r>
          </w:p>
        </w:tc>
        <w:tc>
          <w:tcPr>
            <w:tcW w:w="0" w:type="auto"/>
            <w:vAlign w:val="center"/>
            <w:hideMark/>
          </w:tcPr>
          <w:p w14:paraId="7DA330A2"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Customer Risk</w:t>
            </w:r>
          </w:p>
        </w:tc>
        <w:tc>
          <w:tcPr>
            <w:tcW w:w="0" w:type="auto"/>
            <w:vAlign w:val="center"/>
            <w:hideMark/>
          </w:tcPr>
          <w:p w14:paraId="788DB135"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Low / Medium Risk Profile</w:t>
            </w:r>
          </w:p>
        </w:tc>
        <w:tc>
          <w:tcPr>
            <w:tcW w:w="0" w:type="auto"/>
            <w:vAlign w:val="center"/>
            <w:hideMark/>
          </w:tcPr>
          <w:p w14:paraId="6ED42FEB"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The client risk profile is medium or low</w:t>
            </w:r>
          </w:p>
        </w:tc>
      </w:tr>
      <w:tr w:rsidR="00875CD3" w:rsidRPr="00875CD3" w14:paraId="49B95FFB" w14:textId="77777777">
        <w:trPr>
          <w:tblCellSpacing w:w="15" w:type="dxa"/>
        </w:trPr>
        <w:tc>
          <w:tcPr>
            <w:tcW w:w="0" w:type="auto"/>
            <w:vMerge/>
            <w:vAlign w:val="center"/>
            <w:hideMark/>
          </w:tcPr>
          <w:p w14:paraId="5D8798E5"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36015E50"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 </w:t>
            </w:r>
          </w:p>
        </w:tc>
        <w:tc>
          <w:tcPr>
            <w:tcW w:w="0" w:type="auto"/>
            <w:vAlign w:val="center"/>
            <w:hideMark/>
          </w:tcPr>
          <w:p w14:paraId="6D8BE3B9"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Customer Information – Master Data</w:t>
            </w:r>
          </w:p>
        </w:tc>
        <w:tc>
          <w:tcPr>
            <w:tcW w:w="0" w:type="auto"/>
            <w:vAlign w:val="center"/>
            <w:hideMark/>
          </w:tcPr>
          <w:p w14:paraId="2AAC270C"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Residency and Citizenship</w:t>
            </w:r>
          </w:p>
        </w:tc>
        <w:tc>
          <w:tcPr>
            <w:tcW w:w="0" w:type="auto"/>
            <w:vAlign w:val="center"/>
            <w:hideMark/>
          </w:tcPr>
          <w:p w14:paraId="2962ADFC"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The customer is a resident and Citizen of Czech Republic.</w:t>
            </w:r>
          </w:p>
        </w:tc>
      </w:tr>
      <w:tr w:rsidR="00875CD3" w:rsidRPr="00875CD3" w14:paraId="66C2C506" w14:textId="77777777">
        <w:trPr>
          <w:tblCellSpacing w:w="15" w:type="dxa"/>
        </w:trPr>
        <w:tc>
          <w:tcPr>
            <w:tcW w:w="0" w:type="auto"/>
            <w:vMerge/>
            <w:vAlign w:val="center"/>
            <w:hideMark/>
          </w:tcPr>
          <w:p w14:paraId="67A40C4E"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1B78EA4C"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4</w:t>
            </w:r>
          </w:p>
        </w:tc>
        <w:tc>
          <w:tcPr>
            <w:tcW w:w="0" w:type="auto"/>
            <w:vAlign w:val="center"/>
            <w:hideMark/>
          </w:tcPr>
          <w:p w14:paraId="08C136E9"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Customer Information – Master Data</w:t>
            </w:r>
          </w:p>
        </w:tc>
        <w:tc>
          <w:tcPr>
            <w:tcW w:w="0" w:type="auto"/>
            <w:vAlign w:val="center"/>
            <w:hideMark/>
          </w:tcPr>
          <w:p w14:paraId="77643F30"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Completed and valid KYC data</w:t>
            </w:r>
          </w:p>
        </w:tc>
        <w:tc>
          <w:tcPr>
            <w:tcW w:w="0" w:type="auto"/>
            <w:vAlign w:val="center"/>
            <w:hideMark/>
          </w:tcPr>
          <w:p w14:paraId="5BD91DA1"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All mandatory fields [CM(C25] [MN(26] are completed and data inserted are valid and up to date (e.g., no expired ID document).</w:t>
            </w:r>
          </w:p>
          <w:p w14:paraId="335299CF"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 </w:t>
            </w:r>
          </w:p>
          <w:p w14:paraId="02E35865"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lastRenderedPageBreak/>
              <w:t>Very importantly, for the customer to be eligible for automatic review, the SoF must have a value and cannot be blank. As for the ID documentation, the ID doc number must be available and the document cannot be expired.[CM(C27] [MN(28]</w:t>
            </w:r>
          </w:p>
        </w:tc>
      </w:tr>
      <w:tr w:rsidR="00875CD3" w:rsidRPr="00875CD3" w14:paraId="15FB17A6" w14:textId="77777777">
        <w:trPr>
          <w:tblCellSpacing w:w="15" w:type="dxa"/>
        </w:trPr>
        <w:tc>
          <w:tcPr>
            <w:tcW w:w="0" w:type="auto"/>
            <w:vMerge/>
            <w:vAlign w:val="center"/>
            <w:hideMark/>
          </w:tcPr>
          <w:p w14:paraId="590D6912"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7284CBFA"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5</w:t>
            </w:r>
          </w:p>
        </w:tc>
        <w:tc>
          <w:tcPr>
            <w:tcW w:w="0" w:type="auto"/>
            <w:vAlign w:val="center"/>
            <w:hideMark/>
          </w:tcPr>
          <w:p w14:paraId="6B9219FF"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Customer Business Relationship Information</w:t>
            </w:r>
          </w:p>
        </w:tc>
        <w:tc>
          <w:tcPr>
            <w:tcW w:w="0" w:type="auto"/>
            <w:vAlign w:val="center"/>
            <w:hideMark/>
          </w:tcPr>
          <w:p w14:paraId="5EFC464B"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Active Client</w:t>
            </w:r>
          </w:p>
        </w:tc>
        <w:tc>
          <w:tcPr>
            <w:tcW w:w="0" w:type="auto"/>
            <w:vAlign w:val="center"/>
            <w:hideMark/>
          </w:tcPr>
          <w:p w14:paraId="0F21926D"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Client activity status is active – (ACT)</w:t>
            </w:r>
          </w:p>
        </w:tc>
      </w:tr>
      <w:tr w:rsidR="00875CD3" w:rsidRPr="00875CD3" w14:paraId="31A81E86" w14:textId="77777777">
        <w:trPr>
          <w:tblCellSpacing w:w="15" w:type="dxa"/>
        </w:trPr>
        <w:tc>
          <w:tcPr>
            <w:tcW w:w="0" w:type="auto"/>
            <w:vMerge/>
            <w:vAlign w:val="center"/>
            <w:hideMark/>
          </w:tcPr>
          <w:p w14:paraId="5CC6E9AF"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55FFC91F"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6</w:t>
            </w:r>
          </w:p>
        </w:tc>
        <w:tc>
          <w:tcPr>
            <w:tcW w:w="0" w:type="auto"/>
            <w:vAlign w:val="center"/>
            <w:hideMark/>
          </w:tcPr>
          <w:p w14:paraId="50D38F57"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Compliance Information</w:t>
            </w:r>
          </w:p>
        </w:tc>
        <w:tc>
          <w:tcPr>
            <w:tcW w:w="0" w:type="auto"/>
            <w:vAlign w:val="center"/>
            <w:hideMark/>
          </w:tcPr>
          <w:p w14:paraId="5F2ED7B7"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No operative hits [BW(29] [JC30] [BW(31] in the screening tools (Name screening &amp; Sanction screening)</w:t>
            </w:r>
          </w:p>
        </w:tc>
        <w:tc>
          <w:tcPr>
            <w:tcW w:w="0" w:type="auto"/>
            <w:vAlign w:val="center"/>
            <w:hideMark/>
          </w:tcPr>
          <w:p w14:paraId="231682E4"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There are no unresolved Name Screening alerts / cases on the customer and beneficial owners (Beneficial owners for Sanctions-, PEP- and NN screening) in the screening tools</w:t>
            </w:r>
          </w:p>
        </w:tc>
      </w:tr>
      <w:tr w:rsidR="00875CD3" w:rsidRPr="00875CD3" w14:paraId="493D14C2" w14:textId="77777777">
        <w:trPr>
          <w:tblCellSpacing w:w="15" w:type="dxa"/>
        </w:trPr>
        <w:tc>
          <w:tcPr>
            <w:tcW w:w="0" w:type="auto"/>
            <w:vMerge/>
            <w:vAlign w:val="center"/>
            <w:hideMark/>
          </w:tcPr>
          <w:p w14:paraId="19A7CF47"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55C78D0A"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7</w:t>
            </w:r>
          </w:p>
        </w:tc>
        <w:tc>
          <w:tcPr>
            <w:tcW w:w="0" w:type="auto"/>
            <w:vAlign w:val="center"/>
            <w:hideMark/>
          </w:tcPr>
          <w:p w14:paraId="637AA5F4"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Compliance Information</w:t>
            </w:r>
          </w:p>
        </w:tc>
        <w:tc>
          <w:tcPr>
            <w:tcW w:w="0" w:type="auto"/>
            <w:vAlign w:val="center"/>
            <w:hideMark/>
          </w:tcPr>
          <w:p w14:paraId="733D5C00"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No open TxM case</w:t>
            </w:r>
          </w:p>
        </w:tc>
        <w:tc>
          <w:tcPr>
            <w:tcW w:w="0" w:type="auto"/>
            <w:vAlign w:val="center"/>
            <w:hideMark/>
          </w:tcPr>
          <w:p w14:paraId="13FF6E74"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The client does not have TxM cases open and under analysis[NT(C32] [MN(33] [KC34]</w:t>
            </w:r>
          </w:p>
        </w:tc>
      </w:tr>
      <w:tr w:rsidR="00875CD3" w:rsidRPr="00875CD3" w14:paraId="05333487" w14:textId="77777777">
        <w:trPr>
          <w:tblCellSpacing w:w="15" w:type="dxa"/>
        </w:trPr>
        <w:tc>
          <w:tcPr>
            <w:tcW w:w="0" w:type="auto"/>
            <w:vMerge/>
            <w:vAlign w:val="center"/>
            <w:hideMark/>
          </w:tcPr>
          <w:p w14:paraId="47522E4B"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36C6C897"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8</w:t>
            </w:r>
          </w:p>
        </w:tc>
        <w:tc>
          <w:tcPr>
            <w:tcW w:w="0" w:type="auto"/>
            <w:vAlign w:val="center"/>
            <w:hideMark/>
          </w:tcPr>
          <w:p w14:paraId="030A1E6D"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Compliance Information</w:t>
            </w:r>
          </w:p>
        </w:tc>
        <w:tc>
          <w:tcPr>
            <w:tcW w:w="0" w:type="auto"/>
            <w:vAlign w:val="center"/>
            <w:hideMark/>
          </w:tcPr>
          <w:p w14:paraId="363DFFB5"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No SAR</w:t>
            </w:r>
          </w:p>
        </w:tc>
        <w:tc>
          <w:tcPr>
            <w:tcW w:w="0" w:type="auto"/>
            <w:vAlign w:val="center"/>
            <w:hideMark/>
          </w:tcPr>
          <w:p w14:paraId="0387A0DF"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The client and beneficial owners has never been reported to FIU</w:t>
            </w:r>
          </w:p>
        </w:tc>
      </w:tr>
      <w:tr w:rsidR="00875CD3" w:rsidRPr="00875CD3" w14:paraId="71C2DDE8" w14:textId="77777777">
        <w:trPr>
          <w:tblCellSpacing w:w="15" w:type="dxa"/>
        </w:trPr>
        <w:tc>
          <w:tcPr>
            <w:tcW w:w="0" w:type="auto"/>
            <w:vMerge/>
            <w:vAlign w:val="center"/>
            <w:hideMark/>
          </w:tcPr>
          <w:p w14:paraId="1872C449"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05E0E290"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9</w:t>
            </w:r>
          </w:p>
        </w:tc>
        <w:tc>
          <w:tcPr>
            <w:tcW w:w="0" w:type="auto"/>
            <w:vAlign w:val="center"/>
            <w:hideMark/>
          </w:tcPr>
          <w:p w14:paraId="1F607113"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Compliance Information</w:t>
            </w:r>
          </w:p>
        </w:tc>
        <w:tc>
          <w:tcPr>
            <w:tcW w:w="0" w:type="auto"/>
            <w:vAlign w:val="center"/>
            <w:hideMark/>
          </w:tcPr>
          <w:p w14:paraId="51DEB9AC"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TxM Cases</w:t>
            </w:r>
          </w:p>
        </w:tc>
        <w:tc>
          <w:tcPr>
            <w:tcW w:w="0" w:type="auto"/>
            <w:vAlign w:val="center"/>
            <w:hideMark/>
          </w:tcPr>
          <w:p w14:paraId="6885D82B"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There were not more than 2 transaction monitoring cases on the customer in the last 12 months.[NT(C35] [MN(36] [KC37]</w:t>
            </w:r>
          </w:p>
        </w:tc>
      </w:tr>
      <w:tr w:rsidR="00875CD3" w:rsidRPr="00875CD3" w14:paraId="73491933" w14:textId="77777777">
        <w:trPr>
          <w:tblCellSpacing w:w="15" w:type="dxa"/>
        </w:trPr>
        <w:tc>
          <w:tcPr>
            <w:tcW w:w="0" w:type="auto"/>
            <w:vMerge/>
            <w:vAlign w:val="center"/>
            <w:hideMark/>
          </w:tcPr>
          <w:p w14:paraId="5BC809E3"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24302601"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10</w:t>
            </w:r>
          </w:p>
        </w:tc>
        <w:tc>
          <w:tcPr>
            <w:tcW w:w="0" w:type="auto"/>
            <w:vAlign w:val="center"/>
            <w:hideMark/>
          </w:tcPr>
          <w:p w14:paraId="662EB45A"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shd w:val="clear" w:color="auto" w:fill="E5F18F"/>
                <w14:ligatures w14:val="none"/>
              </w:rPr>
              <w:t>Customer Information – Master Data</w:t>
            </w:r>
          </w:p>
        </w:tc>
        <w:tc>
          <w:tcPr>
            <w:tcW w:w="0" w:type="auto"/>
            <w:vAlign w:val="center"/>
            <w:hideMark/>
          </w:tcPr>
          <w:p w14:paraId="28C9BF2E"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shd w:val="clear" w:color="auto" w:fill="E5F18F"/>
                <w14:ligatures w14:val="none"/>
              </w:rPr>
              <w:t>Notes on client level</w:t>
            </w:r>
          </w:p>
        </w:tc>
        <w:tc>
          <w:tcPr>
            <w:tcW w:w="0" w:type="auto"/>
            <w:vAlign w:val="center"/>
            <w:hideMark/>
          </w:tcPr>
          <w:p w14:paraId="5EB8236C"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shd w:val="clear" w:color="auto" w:fill="E5F18F"/>
                <w14:ligatures w14:val="none"/>
              </w:rPr>
              <w:t>Exclude clients with special notes, e.g. with notes: Black or Restricted (in the future possible new notes will be developed). Some parametric table with concrete notes will be needed. The following “notes” shall be sent from the source system and exclude the customer from the automatic KYC review process:</w:t>
            </w:r>
          </w:p>
          <w:p w14:paraId="5933CCA9"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shd w:val="clear" w:color="auto" w:fill="E5F18F"/>
                <w14:ligatures w14:val="none"/>
              </w:rPr>
              <w:t>1. Note “W4” - Client with question from FIU</w:t>
            </w:r>
          </w:p>
          <w:p w14:paraId="333F54D9"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shd w:val="clear" w:color="auto" w:fill="E5F18F"/>
                <w14:ligatures w14:val="none"/>
              </w:rPr>
              <w:lastRenderedPageBreak/>
              <w:t>2. Note “W23” – client already in termination period</w:t>
            </w:r>
          </w:p>
          <w:p w14:paraId="1FA6E06D"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 </w:t>
            </w:r>
          </w:p>
          <w:p w14:paraId="5FFC7609"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b/>
                <w:bCs/>
                <w:i/>
                <w:iCs/>
                <w:kern w:val="0"/>
                <w:u w:val="single"/>
                <w:shd w:val="clear" w:color="auto" w:fill="E5F18F"/>
                <w14:ligatures w14:val="none"/>
              </w:rPr>
              <w:t>Feasibility to be discussed. The final and complete list of notes is needed. Important to keep in mind that the fields in the database used for one LE must be the same for all LEs and right now all custom fields may already be filled.[JC38] [GA(39]</w:t>
            </w:r>
          </w:p>
        </w:tc>
      </w:tr>
      <w:tr w:rsidR="00875CD3" w:rsidRPr="00875CD3" w14:paraId="6C2C6488" w14:textId="77777777">
        <w:trPr>
          <w:tblCellSpacing w:w="15" w:type="dxa"/>
        </w:trPr>
        <w:tc>
          <w:tcPr>
            <w:tcW w:w="0" w:type="auto"/>
            <w:vMerge w:val="restart"/>
            <w:vAlign w:val="center"/>
            <w:hideMark/>
          </w:tcPr>
          <w:p w14:paraId="5658A2E0"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b/>
                <w:bCs/>
                <w:kern w:val="0"/>
                <w14:ligatures w14:val="none"/>
              </w:rPr>
              <w:lastRenderedPageBreak/>
              <w:t>Legal persons</w:t>
            </w:r>
          </w:p>
        </w:tc>
        <w:tc>
          <w:tcPr>
            <w:tcW w:w="0" w:type="auto"/>
            <w:vAlign w:val="center"/>
            <w:hideMark/>
          </w:tcPr>
          <w:p w14:paraId="216D540D"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11</w:t>
            </w:r>
          </w:p>
        </w:tc>
        <w:tc>
          <w:tcPr>
            <w:tcW w:w="0" w:type="auto"/>
            <w:vAlign w:val="center"/>
            <w:hideMark/>
          </w:tcPr>
          <w:p w14:paraId="7A3E470B"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Customer Typology</w:t>
            </w:r>
          </w:p>
        </w:tc>
        <w:tc>
          <w:tcPr>
            <w:tcW w:w="0" w:type="auto"/>
            <w:vAlign w:val="center"/>
            <w:hideMark/>
          </w:tcPr>
          <w:p w14:paraId="42386669"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Corporates</w:t>
            </w:r>
          </w:p>
        </w:tc>
        <w:tc>
          <w:tcPr>
            <w:tcW w:w="0" w:type="auto"/>
            <w:vAlign w:val="center"/>
            <w:hideMark/>
          </w:tcPr>
          <w:p w14:paraId="08BD95E7"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Corporate customer for which is enabled an automated feeding from BO registry/commercial database (approved one) that ensure that BO information is up to date[CM(C40] [MN(41] , excluding all corporate CIB customer (Non-CIB Jurisdiction).</w:t>
            </w:r>
          </w:p>
        </w:tc>
      </w:tr>
      <w:tr w:rsidR="00875CD3" w:rsidRPr="00875CD3" w14:paraId="5B838F2E" w14:textId="77777777">
        <w:trPr>
          <w:tblCellSpacing w:w="15" w:type="dxa"/>
        </w:trPr>
        <w:tc>
          <w:tcPr>
            <w:tcW w:w="0" w:type="auto"/>
            <w:vMerge/>
            <w:vAlign w:val="center"/>
            <w:hideMark/>
          </w:tcPr>
          <w:p w14:paraId="7E199649"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36A7697A"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12</w:t>
            </w:r>
          </w:p>
        </w:tc>
        <w:tc>
          <w:tcPr>
            <w:tcW w:w="0" w:type="auto"/>
            <w:vAlign w:val="center"/>
            <w:hideMark/>
          </w:tcPr>
          <w:p w14:paraId="4F864A02"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Customer Risk</w:t>
            </w:r>
          </w:p>
        </w:tc>
        <w:tc>
          <w:tcPr>
            <w:tcW w:w="0" w:type="auto"/>
            <w:vAlign w:val="center"/>
            <w:hideMark/>
          </w:tcPr>
          <w:p w14:paraId="6DD1FCA6"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Low / Medium Risk Profile</w:t>
            </w:r>
          </w:p>
        </w:tc>
        <w:tc>
          <w:tcPr>
            <w:tcW w:w="0" w:type="auto"/>
            <w:vAlign w:val="center"/>
            <w:hideMark/>
          </w:tcPr>
          <w:p w14:paraId="2BD668E9"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The client risk profile is medium or low</w:t>
            </w:r>
          </w:p>
        </w:tc>
      </w:tr>
      <w:tr w:rsidR="00875CD3" w:rsidRPr="00875CD3" w14:paraId="192A65CA" w14:textId="77777777">
        <w:trPr>
          <w:tblCellSpacing w:w="15" w:type="dxa"/>
        </w:trPr>
        <w:tc>
          <w:tcPr>
            <w:tcW w:w="0" w:type="auto"/>
            <w:vMerge/>
            <w:vAlign w:val="center"/>
            <w:hideMark/>
          </w:tcPr>
          <w:p w14:paraId="6118BE10"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0D404A4D"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13</w:t>
            </w:r>
          </w:p>
        </w:tc>
        <w:tc>
          <w:tcPr>
            <w:tcW w:w="0" w:type="auto"/>
            <w:vAlign w:val="center"/>
            <w:hideMark/>
          </w:tcPr>
          <w:p w14:paraId="766F2152"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Customer Information – Master Data</w:t>
            </w:r>
          </w:p>
        </w:tc>
        <w:tc>
          <w:tcPr>
            <w:tcW w:w="0" w:type="auto"/>
            <w:vAlign w:val="center"/>
            <w:hideMark/>
          </w:tcPr>
          <w:p w14:paraId="205E2D38"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Country of incorporation</w:t>
            </w:r>
          </w:p>
        </w:tc>
        <w:tc>
          <w:tcPr>
            <w:tcW w:w="0" w:type="auto"/>
            <w:vAlign w:val="center"/>
            <w:hideMark/>
          </w:tcPr>
          <w:p w14:paraId="57F97C82"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The customers country of incorporation is in the country where he is a customer. In this case, the country of incorporation must be Czech Republic.</w:t>
            </w:r>
          </w:p>
        </w:tc>
      </w:tr>
      <w:tr w:rsidR="00875CD3" w:rsidRPr="00875CD3" w14:paraId="57E32532" w14:textId="77777777">
        <w:trPr>
          <w:tblCellSpacing w:w="15" w:type="dxa"/>
        </w:trPr>
        <w:tc>
          <w:tcPr>
            <w:tcW w:w="0" w:type="auto"/>
            <w:vMerge/>
            <w:vAlign w:val="center"/>
            <w:hideMark/>
          </w:tcPr>
          <w:p w14:paraId="0A8FB2B4"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45C75F55"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14</w:t>
            </w:r>
          </w:p>
        </w:tc>
        <w:tc>
          <w:tcPr>
            <w:tcW w:w="0" w:type="auto"/>
            <w:vAlign w:val="center"/>
            <w:hideMark/>
          </w:tcPr>
          <w:p w14:paraId="0CA125B6"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Customer Information – Master Data</w:t>
            </w:r>
          </w:p>
        </w:tc>
        <w:tc>
          <w:tcPr>
            <w:tcW w:w="0" w:type="auto"/>
            <w:vAlign w:val="center"/>
            <w:hideMark/>
          </w:tcPr>
          <w:p w14:paraId="1D3064D3"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Completed and valid KYC data</w:t>
            </w:r>
          </w:p>
        </w:tc>
        <w:tc>
          <w:tcPr>
            <w:tcW w:w="0" w:type="auto"/>
            <w:vAlign w:val="center"/>
            <w:hideMark/>
          </w:tcPr>
          <w:p w14:paraId="6498C4D9"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All mandatory fields are completed and data inserted are valid and up to date (e.g., no expired ID document)</w:t>
            </w:r>
          </w:p>
          <w:p w14:paraId="53C49CA3"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 </w:t>
            </w:r>
          </w:p>
          <w:p w14:paraId="38B9F0F5"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 xml:space="preserve">For Legal Entities, the expiration of the documentation will be reviewed and assessed reported to the </w:t>
            </w:r>
            <w:r w:rsidRPr="00875CD3">
              <w:rPr>
                <w:rFonts w:ascii="Times New Roman" w:eastAsia="Times New Roman" w:hAnsi="Times New Roman" w:cs="Times New Roman"/>
                <w:b/>
                <w:bCs/>
                <w:kern w:val="0"/>
                <w:u w:val="single"/>
                <w14:ligatures w14:val="none"/>
              </w:rPr>
              <w:t>Legal Representatives</w:t>
            </w:r>
            <w:r w:rsidRPr="00875CD3">
              <w:rPr>
                <w:rFonts w:ascii="Times New Roman" w:eastAsia="Times New Roman" w:hAnsi="Times New Roman" w:cs="Times New Roman"/>
                <w:kern w:val="0"/>
                <w14:ligatures w14:val="none"/>
              </w:rPr>
              <w:t>. That is, Legal Entities will only be automatically reviewed if their Legal Representatives have the documentation updated and no document is expired.</w:t>
            </w:r>
          </w:p>
          <w:p w14:paraId="505DB561"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 </w:t>
            </w:r>
          </w:p>
          <w:p w14:paraId="360423EE"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lastRenderedPageBreak/>
              <w:t>Also, very importantly, for the customer to be eligible for automatic review, the SoF must have a value and cannot be blank.</w:t>
            </w:r>
          </w:p>
        </w:tc>
      </w:tr>
      <w:tr w:rsidR="00875CD3" w:rsidRPr="00875CD3" w14:paraId="3749F547" w14:textId="77777777">
        <w:trPr>
          <w:tblCellSpacing w:w="15" w:type="dxa"/>
        </w:trPr>
        <w:tc>
          <w:tcPr>
            <w:tcW w:w="0" w:type="auto"/>
            <w:vMerge/>
            <w:vAlign w:val="center"/>
            <w:hideMark/>
          </w:tcPr>
          <w:p w14:paraId="4016D0CC"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4654EF96"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15</w:t>
            </w:r>
          </w:p>
        </w:tc>
        <w:tc>
          <w:tcPr>
            <w:tcW w:w="0" w:type="auto"/>
            <w:vAlign w:val="center"/>
            <w:hideMark/>
          </w:tcPr>
          <w:p w14:paraId="4378204A"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Customer Business Relationship Information</w:t>
            </w:r>
          </w:p>
        </w:tc>
        <w:tc>
          <w:tcPr>
            <w:tcW w:w="0" w:type="auto"/>
            <w:vAlign w:val="center"/>
            <w:hideMark/>
          </w:tcPr>
          <w:p w14:paraId="727B85B4"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Active Client</w:t>
            </w:r>
          </w:p>
        </w:tc>
        <w:tc>
          <w:tcPr>
            <w:tcW w:w="0" w:type="auto"/>
            <w:vAlign w:val="center"/>
            <w:hideMark/>
          </w:tcPr>
          <w:p w14:paraId="07C54DE5"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Client activity status is active – (ACT)</w:t>
            </w:r>
          </w:p>
        </w:tc>
      </w:tr>
      <w:tr w:rsidR="00875CD3" w:rsidRPr="00875CD3" w14:paraId="64EAACA5" w14:textId="77777777">
        <w:trPr>
          <w:tblCellSpacing w:w="15" w:type="dxa"/>
        </w:trPr>
        <w:tc>
          <w:tcPr>
            <w:tcW w:w="0" w:type="auto"/>
            <w:vMerge/>
            <w:vAlign w:val="center"/>
            <w:hideMark/>
          </w:tcPr>
          <w:p w14:paraId="2B536947"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39FAA362"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16</w:t>
            </w:r>
          </w:p>
        </w:tc>
        <w:tc>
          <w:tcPr>
            <w:tcW w:w="0" w:type="auto"/>
            <w:vAlign w:val="center"/>
            <w:hideMark/>
          </w:tcPr>
          <w:p w14:paraId="5F5AB13B"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Compliance Information</w:t>
            </w:r>
          </w:p>
        </w:tc>
        <w:tc>
          <w:tcPr>
            <w:tcW w:w="0" w:type="auto"/>
            <w:vAlign w:val="center"/>
            <w:hideMark/>
          </w:tcPr>
          <w:p w14:paraId="354DFAFA"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No operative hits in the screening tools (Name screening &amp; Sanction screening)</w:t>
            </w:r>
          </w:p>
        </w:tc>
        <w:tc>
          <w:tcPr>
            <w:tcW w:w="0" w:type="auto"/>
            <w:vAlign w:val="center"/>
            <w:hideMark/>
          </w:tcPr>
          <w:p w14:paraId="0BA21ACC"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There are no unresolved Name Screening alerts / cases on the customer and beneficial owners (Beneficial owners for Sanctions-, PEP- and NN screening) in the screening tools</w:t>
            </w:r>
          </w:p>
        </w:tc>
      </w:tr>
      <w:tr w:rsidR="00875CD3" w:rsidRPr="00875CD3" w14:paraId="73013F57" w14:textId="77777777">
        <w:trPr>
          <w:tblCellSpacing w:w="15" w:type="dxa"/>
        </w:trPr>
        <w:tc>
          <w:tcPr>
            <w:tcW w:w="0" w:type="auto"/>
            <w:vMerge/>
            <w:vAlign w:val="center"/>
            <w:hideMark/>
          </w:tcPr>
          <w:p w14:paraId="19EE1A0C"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5E6A0B9C"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17</w:t>
            </w:r>
          </w:p>
        </w:tc>
        <w:tc>
          <w:tcPr>
            <w:tcW w:w="0" w:type="auto"/>
            <w:vAlign w:val="center"/>
            <w:hideMark/>
          </w:tcPr>
          <w:p w14:paraId="254C43EE"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Compliance Information</w:t>
            </w:r>
          </w:p>
        </w:tc>
        <w:tc>
          <w:tcPr>
            <w:tcW w:w="0" w:type="auto"/>
            <w:vAlign w:val="center"/>
            <w:hideMark/>
          </w:tcPr>
          <w:p w14:paraId="79D6B648"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No open TxM Case</w:t>
            </w:r>
          </w:p>
        </w:tc>
        <w:tc>
          <w:tcPr>
            <w:tcW w:w="0" w:type="auto"/>
            <w:vAlign w:val="center"/>
            <w:hideMark/>
          </w:tcPr>
          <w:p w14:paraId="3D1BEA88"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The client does not have TxM cases open and under analysis</w:t>
            </w:r>
          </w:p>
        </w:tc>
      </w:tr>
      <w:tr w:rsidR="00875CD3" w:rsidRPr="00875CD3" w14:paraId="64B537B9" w14:textId="77777777">
        <w:trPr>
          <w:tblCellSpacing w:w="15" w:type="dxa"/>
        </w:trPr>
        <w:tc>
          <w:tcPr>
            <w:tcW w:w="0" w:type="auto"/>
            <w:vMerge/>
            <w:vAlign w:val="center"/>
            <w:hideMark/>
          </w:tcPr>
          <w:p w14:paraId="11E7E7F1"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08B9BB48"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18</w:t>
            </w:r>
          </w:p>
        </w:tc>
        <w:tc>
          <w:tcPr>
            <w:tcW w:w="0" w:type="auto"/>
            <w:vAlign w:val="center"/>
            <w:hideMark/>
          </w:tcPr>
          <w:p w14:paraId="58526B82"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Compliance Information</w:t>
            </w:r>
          </w:p>
        </w:tc>
        <w:tc>
          <w:tcPr>
            <w:tcW w:w="0" w:type="auto"/>
            <w:vAlign w:val="center"/>
            <w:hideMark/>
          </w:tcPr>
          <w:p w14:paraId="6CF33676"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No SAR</w:t>
            </w:r>
          </w:p>
        </w:tc>
        <w:tc>
          <w:tcPr>
            <w:tcW w:w="0" w:type="auto"/>
            <w:vAlign w:val="center"/>
            <w:hideMark/>
          </w:tcPr>
          <w:p w14:paraId="497D3DB5"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The client and beneficial owners has never been reported to FIU</w:t>
            </w:r>
          </w:p>
        </w:tc>
      </w:tr>
      <w:tr w:rsidR="00875CD3" w:rsidRPr="00875CD3" w14:paraId="5B7294A5" w14:textId="77777777">
        <w:trPr>
          <w:tblCellSpacing w:w="15" w:type="dxa"/>
        </w:trPr>
        <w:tc>
          <w:tcPr>
            <w:tcW w:w="0" w:type="auto"/>
            <w:vMerge/>
            <w:vAlign w:val="center"/>
            <w:hideMark/>
          </w:tcPr>
          <w:p w14:paraId="17278E6C" w14:textId="77777777" w:rsidR="00875CD3" w:rsidRPr="00875CD3" w:rsidRDefault="00875CD3" w:rsidP="00875CD3">
            <w:pPr>
              <w:spacing w:after="0" w:line="240" w:lineRule="auto"/>
              <w:rPr>
                <w:rFonts w:ascii="Times New Roman" w:eastAsia="Times New Roman" w:hAnsi="Times New Roman" w:cs="Times New Roman"/>
                <w:kern w:val="0"/>
                <w14:ligatures w14:val="none"/>
              </w:rPr>
            </w:pPr>
          </w:p>
        </w:tc>
        <w:tc>
          <w:tcPr>
            <w:tcW w:w="0" w:type="auto"/>
            <w:vAlign w:val="center"/>
            <w:hideMark/>
          </w:tcPr>
          <w:p w14:paraId="638F9362"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19</w:t>
            </w:r>
          </w:p>
        </w:tc>
        <w:tc>
          <w:tcPr>
            <w:tcW w:w="0" w:type="auto"/>
            <w:vAlign w:val="center"/>
            <w:hideMark/>
          </w:tcPr>
          <w:p w14:paraId="161601C0"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Compliance Information</w:t>
            </w:r>
          </w:p>
        </w:tc>
        <w:tc>
          <w:tcPr>
            <w:tcW w:w="0" w:type="auto"/>
            <w:vAlign w:val="center"/>
            <w:hideMark/>
          </w:tcPr>
          <w:p w14:paraId="654DF2D9"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TxM Cases</w:t>
            </w:r>
          </w:p>
        </w:tc>
        <w:tc>
          <w:tcPr>
            <w:tcW w:w="0" w:type="auto"/>
            <w:vAlign w:val="center"/>
            <w:hideMark/>
          </w:tcPr>
          <w:p w14:paraId="7A6A4F56"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There were not more than 2 transaction monitoring cases on the customer in the last 12 months.</w:t>
            </w:r>
          </w:p>
        </w:tc>
      </w:tr>
      <w:tr w:rsidR="00875CD3" w:rsidRPr="00875CD3" w14:paraId="4BD984EE" w14:textId="77777777">
        <w:trPr>
          <w:tblCellSpacing w:w="15" w:type="dxa"/>
        </w:trPr>
        <w:tc>
          <w:tcPr>
            <w:tcW w:w="0" w:type="auto"/>
            <w:vAlign w:val="center"/>
            <w:hideMark/>
          </w:tcPr>
          <w:p w14:paraId="55BD6843"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 </w:t>
            </w:r>
          </w:p>
        </w:tc>
        <w:tc>
          <w:tcPr>
            <w:tcW w:w="0" w:type="auto"/>
            <w:vAlign w:val="center"/>
            <w:hideMark/>
          </w:tcPr>
          <w:p w14:paraId="5E55C8E0"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shd w:val="clear" w:color="auto" w:fill="E5F18F"/>
                <w14:ligatures w14:val="none"/>
              </w:rPr>
              <w:t>20</w:t>
            </w:r>
          </w:p>
        </w:tc>
        <w:tc>
          <w:tcPr>
            <w:tcW w:w="0" w:type="auto"/>
            <w:vAlign w:val="center"/>
            <w:hideMark/>
          </w:tcPr>
          <w:p w14:paraId="1C0820DA"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shd w:val="clear" w:color="auto" w:fill="E5F18F"/>
                <w14:ligatures w14:val="none"/>
              </w:rPr>
              <w:t>Customer Information – Master Data</w:t>
            </w:r>
          </w:p>
        </w:tc>
        <w:tc>
          <w:tcPr>
            <w:tcW w:w="0" w:type="auto"/>
            <w:vAlign w:val="center"/>
            <w:hideMark/>
          </w:tcPr>
          <w:p w14:paraId="7EE11F1D"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shd w:val="clear" w:color="auto" w:fill="E5F18F"/>
                <w14:ligatures w14:val="none"/>
              </w:rPr>
              <w:t>Notes on client level</w:t>
            </w:r>
          </w:p>
        </w:tc>
        <w:tc>
          <w:tcPr>
            <w:tcW w:w="0" w:type="auto"/>
            <w:vAlign w:val="center"/>
            <w:hideMark/>
          </w:tcPr>
          <w:p w14:paraId="1D738629"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shd w:val="clear" w:color="auto" w:fill="E5F18F"/>
                <w14:ligatures w14:val="none"/>
              </w:rPr>
              <w:t>Exclude clients with special notes, e.g. with notes: Black or Restricted (in the future possible new notes will be developed). Some parametric table with concrete notes will be needed. The following “notes” shall be sent from the source system and exclude the customer from the automatic KYC review process:</w:t>
            </w:r>
          </w:p>
          <w:p w14:paraId="73EE98A6"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14:ligatures w14:val="none"/>
              </w:rPr>
              <w:t> </w:t>
            </w:r>
          </w:p>
          <w:p w14:paraId="23631CA1"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shd w:val="clear" w:color="auto" w:fill="E5F18F"/>
                <w14:ligatures w14:val="none"/>
              </w:rPr>
              <w:t>1. Note “W4” - Client with question from FIU</w:t>
            </w:r>
          </w:p>
          <w:p w14:paraId="2C4E1DC9" w14:textId="77777777" w:rsidR="00875CD3" w:rsidRPr="00875CD3" w:rsidRDefault="00875CD3" w:rsidP="00875CD3">
            <w:pPr>
              <w:spacing w:before="100" w:beforeAutospacing="1" w:after="100" w:afterAutospacing="1" w:line="240" w:lineRule="auto"/>
              <w:rPr>
                <w:rFonts w:ascii="Times New Roman" w:eastAsia="Times New Roman" w:hAnsi="Times New Roman" w:cs="Times New Roman"/>
                <w:kern w:val="0"/>
                <w14:ligatures w14:val="none"/>
              </w:rPr>
            </w:pPr>
            <w:r w:rsidRPr="00875CD3">
              <w:rPr>
                <w:rFonts w:ascii="Times New Roman" w:eastAsia="Times New Roman" w:hAnsi="Times New Roman" w:cs="Times New Roman"/>
                <w:kern w:val="0"/>
                <w:shd w:val="clear" w:color="auto" w:fill="E5F18F"/>
                <w14:ligatures w14:val="none"/>
              </w:rPr>
              <w:t>2. Note “W23” – client already in termination period</w:t>
            </w:r>
          </w:p>
        </w:tc>
      </w:tr>
    </w:tbl>
    <w:p w14:paraId="72CD814A"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 </w:t>
      </w:r>
    </w:p>
    <w:p w14:paraId="50E5E420"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lastRenderedPageBreak/>
        <w:t>The process and the workflow are further detailed in item 7.</w:t>
      </w:r>
    </w:p>
    <w:p w14:paraId="1E6D7D36" w14:textId="77777777" w:rsidR="00875CD3" w:rsidRPr="00875CD3" w:rsidRDefault="009E5D39" w:rsidP="00875CD3">
      <w:pPr>
        <w:spacing w:after="0" w:line="240" w:lineRule="auto"/>
        <w:rPr>
          <w:rFonts w:ascii="Segoe UI" w:eastAsia="Times New Roman" w:hAnsi="Segoe UI" w:cs="Segoe UI"/>
          <w:kern w:val="0"/>
          <w:sz w:val="21"/>
          <w:szCs w:val="21"/>
          <w14:ligatures w14:val="none"/>
        </w:rPr>
      </w:pPr>
      <w:r>
        <w:rPr>
          <w:noProof/>
        </w:rPr>
      </w:r>
      <w:r>
        <w:pict w14:anchorId="158D27B5">
          <v:rect id="Horizontal Lin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69556F"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[KC1]for clients with decreased AML risk from unwanted to any other is it possible to start with Ad-hoc KYC review? Based on the diagram these clients will have KYC expiry date in the past.</w:t>
      </w:r>
    </w:p>
    <w:p w14:paraId="08FF74D8"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[GA(2]The ad-hoc KYC review can be triggered manually after analyzing client situation. </w:t>
      </w:r>
    </w:p>
    <w:p w14:paraId="4B323D10"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[YJ3]Updated the following sentence “</w:t>
      </w:r>
      <w:r w:rsidRPr="00875CD3">
        <w:rPr>
          <w:rFonts w:ascii="Segoe UI" w:eastAsia="Times New Roman" w:hAnsi="Segoe UI" w:cs="Segoe UI"/>
          <w:i/>
          <w:iCs/>
          <w:kern w:val="0"/>
          <w:sz w:val="21"/>
          <w:szCs w:val="21"/>
          <w14:ligatures w14:val="none"/>
        </w:rPr>
        <w:t>from low-risk to high-risk unwanted, from medium-risk to high-risk unwanted or from high-risk to high-risk unwanted”</w:t>
      </w:r>
      <w:r w:rsidRPr="00875CD3">
        <w:rPr>
          <w:rFonts w:ascii="Segoe UI" w:eastAsia="Times New Roman" w:hAnsi="Segoe UI" w:cs="Segoe UI"/>
          <w:kern w:val="0"/>
          <w:sz w:val="21"/>
          <w:szCs w:val="21"/>
          <w14:ligatures w14:val="none"/>
        </w:rPr>
        <w:t xml:space="preserve"> is not aligned with requirement and it is to be deleted as agreed</w:t>
      </w:r>
    </w:p>
    <w:p w14:paraId="615D6A4C"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 </w:t>
      </w:r>
    </w:p>
    <w:p w14:paraId="57C3DD7E"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[AG4]@Oracle: Shouldn’t it be a periodic review?</w:t>
      </w:r>
    </w:p>
    <w:p w14:paraId="10151C98"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[JC5]Periodic reviews (when the expiration date ends), at UC, according to the requirements, trigger a KYC Review if the Automatic Review wasn't in scope</w:t>
      </w:r>
    </w:p>
    <w:p w14:paraId="14F6A353"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[GA(6]ok</w:t>
      </w:r>
    </w:p>
    <w:p w14:paraId="54E47228"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[KC7]which date of ID document is valid for control? D or D-130 days?</w:t>
      </w:r>
    </w:p>
    <w:p w14:paraId="5AFC3B8D"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[GA(8]Validity is checked when the system performs the check. To be checked with Oracle if it’s possible to verify the validity in the next 90 days. If there will be more documents, are the exipiry checked for all docs?</w:t>
      </w:r>
    </w:p>
    <w:p w14:paraId="198573F4"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[AG9]@Oracle: the check on validity of the doc ID performed at D-130 will have to look for validity until D-100 when automatic review will occur. Notification not to be sent to RM but to Local Operations</w:t>
      </w:r>
    </w:p>
    <w:p w14:paraId="2FBE286A"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[JC10]Please note that this will be a one-off  notification, not a daily check or a daily notification</w:t>
      </w:r>
    </w:p>
    <w:p w14:paraId="2D213D01"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[CM(C11]ok</w:t>
      </w:r>
    </w:p>
    <w:p w14:paraId="6F2E28AD"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[KM(C12]Dates are set up by business - different for each segment.</w:t>
      </w:r>
    </w:p>
    <w:p w14:paraId="58DB6277"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[CM(C13]</w:t>
      </w:r>
      <w:r w:rsidRPr="00875CD3">
        <w:rPr>
          <w:rFonts w:ascii="Segoe UI" w:eastAsia="Times New Roman" w:hAnsi="Segoe UI" w:cs="Segoe UI"/>
          <w:b/>
          <w:bCs/>
          <w:kern w:val="0"/>
          <w:sz w:val="21"/>
          <w:szCs w:val="21"/>
          <w:u w:val="single"/>
          <w14:ligatures w14:val="none"/>
        </w:rPr>
        <w:t>CZ&amp;SK business comment (Miroslav Matousek):</w:t>
      </w:r>
    </w:p>
    <w:p w14:paraId="735D658A"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Please, for CR Segments : Retail, PB INVID, PB LP  and NON CIB we start currently the process 120 days before KYC Expiration Date. Could this term (90 days) be changed?</w:t>
      </w:r>
    </w:p>
    <w:p w14:paraId="610D5811"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[BW(14]@Oracle: please, amend the days are requested </w:t>
      </w:r>
    </w:p>
    <w:p w14:paraId="57F86475"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[GA(15]Number of days to be changed to 120days for Retail - to be specified for Corporate</w:t>
      </w:r>
    </w:p>
    <w:p w14:paraId="6F32C600"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[JC16]Done, but leaving this open based on the recent calls held on the topic. Pending internal discussions.</w:t>
      </w:r>
    </w:p>
    <w:p w14:paraId="09E2E49D"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lastRenderedPageBreak/>
        <w:t>[KC17]finally CORP segment is out of scope for automatic KYC review, so we don´t need any differentiation of dates between segments</w:t>
      </w:r>
    </w:p>
    <w:p w14:paraId="60692330"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[KC18]possible to switch off a notification  for RM based on segment - valid for all notifications which are generated for standard KYC review process.</w:t>
      </w:r>
    </w:p>
    <w:p w14:paraId="3C77E591"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[MN(19]To be discussed during the meeting. The requirement is not clear.</w:t>
      </w:r>
    </w:p>
    <w:p w14:paraId="5EAED28D"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[GA(20]@Oracle: Notification from Oracle will be switched off</w:t>
      </w:r>
    </w:p>
    <w:p w14:paraId="73D0541F"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[KC21]Could be possible to "delete" AML block for some clients based on exception from local AML (e.g. clients with special note)?</w:t>
      </w:r>
    </w:p>
    <w:p w14:paraId="1A380E7E"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[MN(22]The AML block is preventing a client from opening new products. Group approach is not set always an AML block and not to remove it until the process is finalized.</w:t>
      </w:r>
    </w:p>
    <w:p w14:paraId="7390BA88"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[KM(C23]Will be there any KYC status on the client in Oracle and CORE02? E.G. KYC under evaluation / Ad-hoc KYC ...?</w:t>
      </w:r>
    </w:p>
    <w:p w14:paraId="1250ED8B"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[MN(24]Yes, it is part of Backfeeding requirements</w:t>
      </w:r>
    </w:p>
    <w:p w14:paraId="45B5A3D2"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[CM(C25]</w:t>
      </w:r>
      <w:r w:rsidRPr="00875CD3">
        <w:rPr>
          <w:rFonts w:ascii="Segoe UI" w:eastAsia="Times New Roman" w:hAnsi="Segoe UI" w:cs="Segoe UI"/>
          <w:b/>
          <w:bCs/>
          <w:kern w:val="0"/>
          <w:sz w:val="21"/>
          <w:szCs w:val="21"/>
          <w:u w:val="single"/>
          <w14:ligatures w14:val="none"/>
        </w:rPr>
        <w:t>CZ&amp;SK business comment (Miroslav Matousek):</w:t>
      </w:r>
    </w:p>
    <w:p w14:paraId="645A7D36"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Which are mandatory fields and in which application / system ?</w:t>
      </w:r>
    </w:p>
    <w:p w14:paraId="7E827D38"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[MN(26]All mandatory fields are the fields (data) relevant for CRR. In the KYC Q there is a colum CRR relevant and column Mandatory/Optional. KYC Q is in OIA.</w:t>
      </w:r>
    </w:p>
    <w:p w14:paraId="6F0AD02A"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[CM(C27]</w:t>
      </w:r>
      <w:r w:rsidRPr="00875CD3">
        <w:rPr>
          <w:rFonts w:ascii="Segoe UI" w:eastAsia="Times New Roman" w:hAnsi="Segoe UI" w:cs="Segoe UI"/>
          <w:b/>
          <w:bCs/>
          <w:kern w:val="0"/>
          <w:sz w:val="21"/>
          <w:szCs w:val="21"/>
          <w:u w:val="single"/>
          <w14:ligatures w14:val="none"/>
        </w:rPr>
        <w:t>CZ&amp;SK business comment (Miroslav Matousek):</w:t>
      </w:r>
    </w:p>
    <w:p w14:paraId="0CE0E102"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Which application/system is referred here by SoF?</w:t>
      </w:r>
    </w:p>
    <w:p w14:paraId="2A24C60C"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[MN(28]KYC Q (OIA) related to the question SoF which is CRR relevant and mandatory</w:t>
      </w:r>
    </w:p>
    <w:p w14:paraId="5FCE764D"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[BW(29]@Oracle: does it mean "open cases"? </w:t>
      </w:r>
    </w:p>
    <w:p w14:paraId="0E9D4DCE"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[JC30]It's a term Nik used in a call. I read it as meaning no unresolved hits on any list in NxS, no alerts generated and yet to be closed.</w:t>
      </w:r>
    </w:p>
    <w:p w14:paraId="43BE858B"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[BW(31]ok</w:t>
      </w:r>
    </w:p>
    <w:p w14:paraId="7F15F7B0"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[NT(C32]So the check whether a customer is eligible for automatic KYC review takes place just the 90th day before KYC expiration. If TxM case is opened the customer is excluded. Is there another check or is it just one-time check on the 90th day so even if TxM case is closed for example 85th day before KYC expiration, the customer's review still needs to be done manually because he is already excluded? </w:t>
      </w:r>
    </w:p>
    <w:p w14:paraId="08CC251C"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 xml:space="preserve">[MN(33]In the comment from Marek above the change is requested from 90 to 120. The dates are in any case configurable. The check is done once, X days before KYC expires. if the customer </w:t>
      </w:r>
      <w:r w:rsidRPr="00875CD3">
        <w:rPr>
          <w:rFonts w:ascii="Segoe UI" w:eastAsia="Times New Roman" w:hAnsi="Segoe UI" w:cs="Segoe UI"/>
          <w:kern w:val="0"/>
          <w:sz w:val="21"/>
          <w:szCs w:val="21"/>
          <w14:ligatures w14:val="none"/>
        </w:rPr>
        <w:lastRenderedPageBreak/>
        <w:t>is eligible the automatic review is done if the customer is not eligible Periodic review needs to be done.</w:t>
      </w:r>
    </w:p>
    <w:p w14:paraId="1AB8548D"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[KC34]ok (based on discussion with Tomáš)</w:t>
      </w:r>
    </w:p>
    <w:p w14:paraId="2C907399"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[NT(C35]Do all cases count here (true + false positive) or just true positives?</w:t>
      </w:r>
    </w:p>
    <w:p w14:paraId="3CAF8E46"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[MN(36]Yes, both true and false</w:t>
      </w:r>
    </w:p>
    <w:p w14:paraId="35F1D72A"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[KC37](based on Tomáš): This depends very much on the effectiveness of the new tool. If it generates a lot of false positives, it will need to be discussed again and possibly adjusted so that only true positives are counted.</w:t>
      </w:r>
    </w:p>
    <w:p w14:paraId="19D847E4"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[JC38]Please schedule a call to discuss this requirement. I don't understand this.</w:t>
      </w:r>
    </w:p>
    <w:p w14:paraId="194AC34F"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[GA(39]Details on notes and feasibility to be discussed during Technical Analysis </w:t>
      </w:r>
    </w:p>
    <w:p w14:paraId="64335A21"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[CM(C40]</w:t>
      </w:r>
      <w:r w:rsidRPr="00875CD3">
        <w:rPr>
          <w:rFonts w:ascii="Segoe UI" w:eastAsia="Times New Roman" w:hAnsi="Segoe UI" w:cs="Segoe UI"/>
          <w:b/>
          <w:bCs/>
          <w:kern w:val="0"/>
          <w:sz w:val="21"/>
          <w:szCs w:val="21"/>
          <w:u w:val="single"/>
          <w14:ligatures w14:val="none"/>
        </w:rPr>
        <w:t>CZ&amp;SK business comment (Miroslav Matousek):</w:t>
      </w:r>
    </w:p>
    <w:p w14:paraId="2115992E"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Do we have a description of current state of art? Is this condition manageable in current CZ/SK conditions? How we can manage it?</w:t>
      </w:r>
    </w:p>
    <w:p w14:paraId="54A2307C" w14:textId="77777777" w:rsidR="00875CD3" w:rsidRPr="00875CD3" w:rsidRDefault="00875CD3" w:rsidP="00875CD3">
      <w:pPr>
        <w:spacing w:before="100" w:beforeAutospacing="1" w:after="100" w:afterAutospacing="1" w:line="240" w:lineRule="auto"/>
        <w:rPr>
          <w:rFonts w:ascii="Segoe UI" w:eastAsia="Times New Roman" w:hAnsi="Segoe UI" w:cs="Segoe UI"/>
          <w:kern w:val="0"/>
          <w:sz w:val="21"/>
          <w:szCs w:val="21"/>
          <w14:ligatures w14:val="none"/>
        </w:rPr>
      </w:pPr>
      <w:r w:rsidRPr="00875CD3">
        <w:rPr>
          <w:rFonts w:ascii="Segoe UI" w:eastAsia="Times New Roman" w:hAnsi="Segoe UI" w:cs="Segoe UI"/>
          <w:kern w:val="0"/>
          <w:sz w:val="21"/>
          <w:szCs w:val="21"/>
          <w14:ligatures w14:val="none"/>
        </w:rPr>
        <w:t xml:space="preserve">[MN(41]Currently there is no automated feeding from BO registry/commercial database as confirmed to us during BR discussions, therefore all LE jurisdiction shall be excluded from the automated KYC review apart from “Corporate no CIB” customers with occupation type “entrepreneurs” and CUST-CUST relationship “TIT. However we would still configure the rules for legal persons also in CZ &amp; SK </w:t>
      </w:r>
      <w:r w:rsidRPr="00875CD3">
        <w:rPr>
          <w:rFonts w:ascii="Segoe UI" w:eastAsia="Times New Roman" w:hAnsi="Segoe UI" w:cs="Segoe UI"/>
          <w:b/>
          <w:bCs/>
          <w:kern w:val="0"/>
          <w:sz w:val="21"/>
          <w:szCs w:val="21"/>
          <w14:ligatures w14:val="none"/>
        </w:rPr>
        <w:t>to be able to insert them in the future</w:t>
      </w:r>
      <w:r w:rsidRPr="00875CD3">
        <w:rPr>
          <w:rFonts w:ascii="Segoe UI" w:eastAsia="Times New Roman" w:hAnsi="Segoe UI" w:cs="Segoe UI"/>
          <w:kern w:val="0"/>
          <w:sz w:val="21"/>
          <w:szCs w:val="21"/>
          <w14:ligatures w14:val="none"/>
        </w:rPr>
        <w:t xml:space="preserve"> once an automated feeding from a BO registry/commerical databased is available in your jurisdiction.</w:t>
      </w:r>
    </w:p>
    <w:p w14:paraId="00125453" w14:textId="6D2AD66B" w:rsidR="007F3313" w:rsidRDefault="00875CD3" w:rsidP="00875CD3">
      <w:r w:rsidRPr="00875CD3">
        <w:rPr>
          <w:rFonts w:ascii="Segoe UI" w:eastAsia="Times New Roman" w:hAnsi="Segoe UI" w:cs="Segoe UI"/>
          <w:kern w:val="0"/>
          <w:sz w:val="21"/>
          <w:szCs w:val="21"/>
          <w14:ligatures w14:val="none"/>
        </w:rPr>
        <w:t> </w:t>
      </w:r>
    </w:p>
    <w:sectPr w:rsidR="007F33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UniCredit">
    <w:altName w:val="Calibri"/>
    <w:panose1 w:val="020B0604020202020204"/>
    <w:charset w:val="00"/>
    <w:family w:val="auto"/>
    <w:pitch w:val="variable"/>
    <w:sig w:usb0="A000022F" w:usb1="5000A06A" w:usb2="00000000" w:usb3="00000000" w:csb0="000000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4C35"/>
    <w:multiLevelType w:val="multilevel"/>
    <w:tmpl w:val="84B244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86A263E"/>
    <w:multiLevelType w:val="multilevel"/>
    <w:tmpl w:val="8070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07E02"/>
    <w:multiLevelType w:val="multilevel"/>
    <w:tmpl w:val="CAC444B4"/>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74280723">
    <w:abstractNumId w:val="0"/>
  </w:num>
  <w:num w:numId="2" w16cid:durableId="1078096245">
    <w:abstractNumId w:val="0"/>
  </w:num>
  <w:num w:numId="3" w16cid:durableId="133261112">
    <w:abstractNumId w:val="2"/>
  </w:num>
  <w:num w:numId="4" w16cid:durableId="297952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CD3"/>
    <w:rsid w:val="005509F7"/>
    <w:rsid w:val="006D0DA1"/>
    <w:rsid w:val="007F3313"/>
    <w:rsid w:val="00875CD3"/>
    <w:rsid w:val="009E5D39"/>
    <w:rsid w:val="00C3171A"/>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D85DFD"/>
  <w15:chartTrackingRefBased/>
  <w15:docId w15:val="{627CCAC5-33E9-5041-B969-C3F6BF2AA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C3171A"/>
    <w:pPr>
      <w:keepNext/>
      <w:numPr>
        <w:ilvl w:val="1"/>
        <w:numId w:val="3"/>
      </w:numPr>
      <w:pBdr>
        <w:bottom w:val="single" w:sz="4" w:space="1" w:color="FF0000"/>
      </w:pBdr>
      <w:tabs>
        <w:tab w:val="left" w:pos="340"/>
      </w:tabs>
      <w:spacing w:before="280" w:after="0" w:line="240" w:lineRule="atLeast"/>
      <w:ind w:left="576" w:hanging="576"/>
      <w:jc w:val="both"/>
      <w:outlineLvl w:val="1"/>
    </w:pPr>
    <w:rPr>
      <w:rFonts w:ascii="UniCredit" w:eastAsia="Times New Roman" w:hAnsi="UniCredit" w:cs="Times New Roman"/>
      <w:b/>
      <w:caps/>
      <w:sz w:val="28"/>
      <w:szCs w:val="28"/>
      <w:lang w:val="it-IT" w:eastAsia="it-IT"/>
      <w14:textOutline w14:w="0" w14:cap="rnd" w14:cmpd="sng" w14:algn="ctr">
        <w14:solidFill>
          <w14:srgbClr w14:val="000000"/>
        </w14:solidFill>
        <w14:prstDash w14:val="solid"/>
        <w14:bevel/>
      </w14:textOutline>
    </w:rPr>
  </w:style>
  <w:style w:type="paragraph" w:styleId="Heading3">
    <w:name w:val="heading 3"/>
    <w:basedOn w:val="Heading2"/>
    <w:next w:val="Normal"/>
    <w:link w:val="Heading3Char"/>
    <w:autoRedefine/>
    <w:uiPriority w:val="9"/>
    <w:unhideWhenUsed/>
    <w:qFormat/>
    <w:rsid w:val="00C3171A"/>
    <w:pPr>
      <w:numPr>
        <w:ilvl w:val="2"/>
        <w:numId w:val="2"/>
      </w:numPr>
      <w:outlineLvl w:val="2"/>
    </w:pPr>
    <w:rPr>
      <w:b w:val="0"/>
      <w:bCs/>
      <w:sz w:val="20"/>
      <w:szCs w:val="24"/>
    </w:rPr>
  </w:style>
  <w:style w:type="paragraph" w:styleId="Heading4">
    <w:name w:val="heading 4"/>
    <w:basedOn w:val="Normal"/>
    <w:next w:val="Normal"/>
    <w:link w:val="Heading4Char"/>
    <w:uiPriority w:val="9"/>
    <w:semiHidden/>
    <w:unhideWhenUsed/>
    <w:qFormat/>
    <w:rsid w:val="00875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171A"/>
    <w:rPr>
      <w:rFonts w:ascii="UniCredit" w:eastAsia="Times New Roman" w:hAnsi="UniCredit" w:cs="Times New Roman"/>
      <w:b/>
      <w:bCs/>
      <w:sz w:val="20"/>
      <w:lang w:val="it-IT" w:eastAsia="it-IT"/>
      <w14:textOutline w14:w="0" w14:cap="rnd" w14:cmpd="sng" w14:algn="ctr">
        <w14:solidFill>
          <w14:srgbClr w14:val="000000"/>
        </w14:solidFill>
        <w14:prstDash w14:val="solid"/>
        <w14:bevel/>
      </w14:textOutline>
    </w:rPr>
  </w:style>
  <w:style w:type="character" w:customStyle="1" w:styleId="Heading2Char">
    <w:name w:val="Heading 2 Char"/>
    <w:basedOn w:val="DefaultParagraphFont"/>
    <w:link w:val="Heading2"/>
    <w:uiPriority w:val="9"/>
    <w:rsid w:val="00C3171A"/>
    <w:rPr>
      <w:rFonts w:ascii="UniCredit" w:eastAsia="Times New Roman" w:hAnsi="UniCredit" w:cs="Times New Roman"/>
      <w:b/>
      <w:caps/>
      <w:sz w:val="28"/>
      <w:szCs w:val="28"/>
      <w:lang w:val="it-IT" w:eastAsia="it-IT"/>
      <w14:textOutline w14:w="0" w14:cap="rnd" w14:cmpd="sng" w14:algn="ctr">
        <w14:solidFill>
          <w14:srgbClr w14:val="000000"/>
        </w14:solidFill>
        <w14:prstDash w14:val="solid"/>
        <w14:bevel/>
      </w14:textOutline>
    </w:rPr>
  </w:style>
  <w:style w:type="character" w:customStyle="1" w:styleId="Heading1Char">
    <w:name w:val="Heading 1 Char"/>
    <w:basedOn w:val="DefaultParagraphFont"/>
    <w:link w:val="Heading1"/>
    <w:uiPriority w:val="9"/>
    <w:rsid w:val="00875CD3"/>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875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CD3"/>
    <w:rPr>
      <w:rFonts w:eastAsiaTheme="majorEastAsia" w:cstheme="majorBidi"/>
      <w:color w:val="272727" w:themeColor="text1" w:themeTint="D8"/>
    </w:rPr>
  </w:style>
  <w:style w:type="paragraph" w:styleId="Title">
    <w:name w:val="Title"/>
    <w:basedOn w:val="Normal"/>
    <w:next w:val="Normal"/>
    <w:link w:val="TitleChar"/>
    <w:uiPriority w:val="10"/>
    <w:qFormat/>
    <w:rsid w:val="00875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CD3"/>
    <w:pPr>
      <w:spacing w:before="160"/>
      <w:jc w:val="center"/>
    </w:pPr>
    <w:rPr>
      <w:i/>
      <w:iCs/>
      <w:color w:val="404040" w:themeColor="text1" w:themeTint="BF"/>
    </w:rPr>
  </w:style>
  <w:style w:type="character" w:customStyle="1" w:styleId="QuoteChar">
    <w:name w:val="Quote Char"/>
    <w:basedOn w:val="DefaultParagraphFont"/>
    <w:link w:val="Quote"/>
    <w:uiPriority w:val="29"/>
    <w:rsid w:val="00875CD3"/>
    <w:rPr>
      <w:i/>
      <w:iCs/>
      <w:color w:val="404040" w:themeColor="text1" w:themeTint="BF"/>
    </w:rPr>
  </w:style>
  <w:style w:type="paragraph" w:styleId="ListParagraph">
    <w:name w:val="List Paragraph"/>
    <w:basedOn w:val="Normal"/>
    <w:uiPriority w:val="34"/>
    <w:qFormat/>
    <w:rsid w:val="00875CD3"/>
    <w:pPr>
      <w:ind w:left="720"/>
      <w:contextualSpacing/>
    </w:pPr>
  </w:style>
  <w:style w:type="character" w:styleId="IntenseEmphasis">
    <w:name w:val="Intense Emphasis"/>
    <w:basedOn w:val="DefaultParagraphFont"/>
    <w:uiPriority w:val="21"/>
    <w:qFormat/>
    <w:rsid w:val="00875CD3"/>
    <w:rPr>
      <w:i/>
      <w:iCs/>
      <w:color w:val="0F4761" w:themeColor="accent1" w:themeShade="BF"/>
    </w:rPr>
  </w:style>
  <w:style w:type="paragraph" w:styleId="IntenseQuote">
    <w:name w:val="Intense Quote"/>
    <w:basedOn w:val="Normal"/>
    <w:next w:val="Normal"/>
    <w:link w:val="IntenseQuoteChar"/>
    <w:uiPriority w:val="30"/>
    <w:qFormat/>
    <w:rsid w:val="00875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CD3"/>
    <w:rPr>
      <w:i/>
      <w:iCs/>
      <w:color w:val="0F4761" w:themeColor="accent1" w:themeShade="BF"/>
    </w:rPr>
  </w:style>
  <w:style w:type="character" w:styleId="IntenseReference">
    <w:name w:val="Intense Reference"/>
    <w:basedOn w:val="DefaultParagraphFont"/>
    <w:uiPriority w:val="32"/>
    <w:qFormat/>
    <w:rsid w:val="00875CD3"/>
    <w:rPr>
      <w:b/>
      <w:bCs/>
      <w:smallCaps/>
      <w:color w:val="0F4761" w:themeColor="accent1" w:themeShade="BF"/>
      <w:spacing w:val="5"/>
    </w:rPr>
  </w:style>
  <w:style w:type="paragraph" w:styleId="NormalWeb">
    <w:name w:val="Normal (Web)"/>
    <w:basedOn w:val="Normal"/>
    <w:uiPriority w:val="99"/>
    <w:semiHidden/>
    <w:unhideWhenUsed/>
    <w:rsid w:val="00875C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5C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2186</Words>
  <Characters>12461</Characters>
  <Application>Microsoft Office Word</Application>
  <DocSecurity>0</DocSecurity>
  <Lines>103</Lines>
  <Paragraphs>29</Paragraphs>
  <ScaleCrop>false</ScaleCrop>
  <Company/>
  <LinksUpToDate>false</LinksUpToDate>
  <CharactersWithSpaces>14618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La Rosa</dc:creator>
  <cp:keywords/>
  <dc:description/>
  <cp:lastModifiedBy>Luca La Rosa</cp:lastModifiedBy>
  <cp:revision>1</cp:revision>
  <dcterms:created xsi:type="dcterms:W3CDTF">2026-04-09T13:20:00Z</dcterms:created>
  <dcterms:modified xsi:type="dcterms:W3CDTF">2026-04-09T13:20:00Z</dcterms:modified>
</cp:coreProperties>
</file>