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Approved Source List</w:t>
      </w:r>
    </w:p>
    <w:p>
      <w:pPr>
        <w:jc w:val="center"/>
      </w:pPr>
      <w:r>
        <w:rPr>
          <w:sz w:val="24"/>
        </w:rPr>
        <w:t>Reference guide for agent-led external research</w:t>
      </w:r>
    </w:p>
    <w:p>
      <w:pPr>
        <w:jc w:val="center"/>
      </w:pPr>
      <w:r>
        <w:t>Version 0.1 | 05/06/2026 | For internal pilot use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document lists preferred sources for the agent’s external research. The agent should prioritise these source categories and record all sources used.</w:t>
      </w:r>
    </w:p>
    <w:p>
      <w:pPr>
        <w:pStyle w:val="Heading1"/>
      </w:pPr>
      <w:r>
        <w:t>2. Source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Research area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Preferred sources</w:t>
            </w:r>
          </w:p>
        </w:tc>
      </w:tr>
      <w:tr>
        <w:tc>
          <w:tcPr>
            <w:tcW w:type="dxa" w:w="5040"/>
            <w:vAlign w:val="top"/>
          </w:tcPr>
          <w:p>
            <w:r>
              <w:t>Market and company research</w:t>
            </w:r>
          </w:p>
        </w:tc>
        <w:tc>
          <w:tcPr>
            <w:tcW w:type="dxa" w:w="5040"/>
            <w:vAlign w:val="top"/>
          </w:tcPr>
          <w:p>
            <w:r>
              <w:t>Company websites; annual reports; press releases; Gov.uk; UKRI; Innovate UK; Companies House; industry associations; regulator websites; standards bodies; reputable market reports where accessible.</w:t>
            </w:r>
          </w:p>
        </w:tc>
      </w:tr>
      <w:tr>
        <w:tc>
          <w:tcPr>
            <w:tcW w:type="dxa" w:w="5040"/>
            <w:vAlign w:val="top"/>
          </w:tcPr>
          <w:p>
            <w:r>
              <w:t>Patent and prior-art research</w:t>
            </w:r>
          </w:p>
        </w:tc>
        <w:tc>
          <w:tcPr>
            <w:tcW w:type="dxa" w:w="5040"/>
            <w:vAlign w:val="top"/>
          </w:tcPr>
          <w:p>
            <w:r>
              <w:t>Google Patents; Espacenet; WIPO Patentscope; The Lens; USPTO; UK IPO.</w:t>
            </w:r>
          </w:p>
        </w:tc>
      </w:tr>
      <w:tr>
        <w:tc>
          <w:tcPr>
            <w:tcW w:type="dxa" w:w="5040"/>
            <w:vAlign w:val="top"/>
          </w:tcPr>
          <w:p>
            <w:r>
              <w:t>Publication and academic landscape</w:t>
            </w:r>
          </w:p>
        </w:tc>
        <w:tc>
          <w:tcPr>
            <w:tcW w:type="dxa" w:w="5040"/>
            <w:vAlign w:val="top"/>
          </w:tcPr>
          <w:p>
            <w:r>
              <w:t>OpenAlex; Crossref; PubMed; Semantic Scholar; institutional repositories; journal websites; funder databases.</w:t>
            </w:r>
          </w:p>
        </w:tc>
      </w:tr>
      <w:tr>
        <w:tc>
          <w:tcPr>
            <w:tcW w:type="dxa" w:w="5040"/>
            <w:vAlign w:val="top"/>
          </w:tcPr>
          <w:p>
            <w:r>
              <w:t>Funding routes</w:t>
            </w:r>
          </w:p>
        </w:tc>
        <w:tc>
          <w:tcPr>
            <w:tcW w:type="dxa" w:w="5040"/>
            <w:vAlign w:val="top"/>
          </w:tcPr>
          <w:p>
            <w:r>
              <w:t>UKRI; Innovate UK; NIHR; EPSRC; Horizon Europe; regional innovation programmes; KTP information pages; charity/foundation funders.</w:t>
            </w:r>
          </w:p>
        </w:tc>
      </w:tr>
      <w:tr>
        <w:tc>
          <w:tcPr>
            <w:tcW w:type="dxa" w:w="5040"/>
            <w:vAlign w:val="top"/>
          </w:tcPr>
          <w:p>
            <w:r>
              <w:t>Standards and regulation</w:t>
            </w:r>
          </w:p>
        </w:tc>
        <w:tc>
          <w:tcPr>
            <w:tcW w:type="dxa" w:w="5040"/>
            <w:vAlign w:val="top"/>
          </w:tcPr>
          <w:p>
            <w:r>
              <w:t>BSI; ISO; IEC; CEN/CENELEC; MHRA; HSE; ICO; FCA; Ofcom; Environment Agency; sector regulators.</w:t>
            </w:r>
          </w:p>
        </w:tc>
      </w:tr>
      <w:tr>
        <w:tc>
          <w:tcPr>
            <w:tcW w:type="dxa" w:w="5040"/>
            <w:vAlign w:val="top"/>
          </w:tcPr>
          <w:p>
            <w:r>
              <w:t>Contact research</w:t>
            </w:r>
          </w:p>
        </w:tc>
        <w:tc>
          <w:tcPr>
            <w:tcW w:type="dxa" w:w="5040"/>
            <w:vAlign w:val="top"/>
          </w:tcPr>
          <w:p>
            <w:r>
              <w:t>Company team/leadership pages; press releases; public professional profiles; existing CRM records supplied by user; approved licensed contact databases only.</w:t>
            </w:r>
          </w:p>
        </w:tc>
      </w:tr>
    </w:tbl>
    <w:p>
      <w:pPr>
        <w:pStyle w:val="Heading1"/>
      </w:pPr>
      <w:r>
        <w:t>3. Search and citation expectations</w:t>
      </w:r>
    </w:p>
    <w:p>
      <w:pPr>
        <w:pStyle w:val="ListBullet"/>
      </w:pPr>
      <w:r>
        <w:t>Use non-confidential search terms only unless the user authorises otherwise.</w:t>
      </w:r>
    </w:p>
    <w:p>
      <w:pPr>
        <w:pStyle w:val="ListBullet"/>
      </w:pPr>
      <w:r>
        <w:t>Prefer primary and official sources.</w:t>
      </w:r>
    </w:p>
    <w:p>
      <w:pPr>
        <w:pStyle w:val="ListBullet"/>
      </w:pPr>
      <w:r>
        <w:t>Record source title, publisher, URL, date and relevance.</w:t>
      </w:r>
    </w:p>
    <w:p>
      <w:pPr>
        <w:pStyle w:val="ListBullet"/>
      </w:pPr>
      <w:r>
        <w:t>Label source confidence as high, medium or low.</w:t>
      </w:r>
    </w:p>
    <w:p>
      <w:pPr>
        <w:pStyle w:val="ListBullet"/>
      </w:pPr>
      <w:r>
        <w:t>If web search cannot be performed, provide manual searches for the user to run.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69612D6940EA4FA5C864713CC79B42" ma:contentTypeVersion="29" ma:contentTypeDescription="Create a new document." ma:contentTypeScope="" ma:versionID="ca362d17f7f6d2a4a319ec8027bb9ae4">
  <xsd:schema xmlns:xsd="http://www.w3.org/2001/XMLSchema" xmlns:xs="http://www.w3.org/2001/XMLSchema" xmlns:p="http://schemas.microsoft.com/office/2006/metadata/properties" xmlns:ns2="86babe94-8a02-46bc-a9b7-a676cc214797" xmlns:ns3="674cd553-a806-4508-beda-90fdf9affe65" targetNamespace="http://schemas.microsoft.com/office/2006/metadata/properties" ma:root="true" ma:fieldsID="2f03b6c9af8e12bdf5fe815a6e181891" ns2:_="" ns3:_="">
    <xsd:import namespace="86babe94-8a02-46bc-a9b7-a676cc214797"/>
    <xsd:import namespace="674cd553-a806-4508-beda-90fdf9aff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TechID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Name1" minOccurs="0"/>
                <xsd:element ref="ns3:School" minOccurs="0"/>
                <xsd:element ref="ns3:Faculty" minOccurs="0"/>
                <xsd:element ref="ns2:MediaServiceBillingMetadata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abe94-8a02-46bc-a9b7-a676cc2147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chID" ma:index="20" nillable="true" ma:displayName="Tech ID" ma:description="free text" ma:format="RadioButtons" ma:internalName="TechID">
      <xsd:simpleType>
        <xsd:union memberTypes="dms:Text">
          <xsd:simpleType>
            <xsd:restriction base="dms:Choice">
              <xsd:enumeration value="Free"/>
              <xsd:enumeration value="text"/>
            </xsd:restriction>
          </xsd:simpleType>
        </xsd:un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76624216-d583-4636-a04d-17921d6eaf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4cd553-a806-4508-beda-90fdf9aff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ca32af48-fd1c-4046-8aa4-8b498b828087}" ma:internalName="TaxCatchAll" ma:showField="CatchAllData" ma:web="674cd553-a806-4508-beda-90fdf9aff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me1" ma:index="27" nillable="true" ma:displayName="Name" ma:internalName="Name1">
      <xsd:simpleType>
        <xsd:restriction base="dms:Text"/>
      </xsd:simpleType>
    </xsd:element>
    <xsd:element name="School" ma:index="28" nillable="true" ma:displayName="School" ma:internalName="School">
      <xsd:simpleType>
        <xsd:restriction base="dms:Text"/>
      </xsd:simpleType>
    </xsd:element>
    <xsd:element name="Faculty" ma:index="29" nillable="true" ma:displayName="Faculty" ma:internalName="Facult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babe94-8a02-46bc-a9b7-a676cc214797">
      <Terms xmlns="http://schemas.microsoft.com/office/infopath/2007/PartnerControls"/>
    </lcf76f155ced4ddcb4097134ff3c332f>
    <School xmlns="674cd553-a806-4508-beda-90fdf9affe65" xsi:nil="true"/>
    <TechID xmlns="86babe94-8a02-46bc-a9b7-a676cc214797" xsi:nil="true"/>
    <TaxCatchAll xmlns="674cd553-a806-4508-beda-90fdf9affe65" xsi:nil="true"/>
    <_Flow_SignoffStatus xmlns="86babe94-8a02-46bc-a9b7-a676cc214797" xsi:nil="true"/>
    <Name1 xmlns="674cd553-a806-4508-beda-90fdf9affe65" xsi:nil="true"/>
    <Faculty xmlns="674cd553-a806-4508-beda-90fdf9affe6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8DEC72-2644-46BF-AF7C-C0164917B574}"/>
</file>

<file path=customXml/itemProps3.xml><?xml version="1.0" encoding="utf-8"?>
<ds:datastoreItem xmlns:ds="http://schemas.openxmlformats.org/officeDocument/2006/customXml" ds:itemID="{D32260E7-AF59-4736-B8C6-1712D21DBA70}"/>
</file>

<file path=customXml/itemProps4.xml><?xml version="1.0" encoding="utf-8"?>
<ds:datastoreItem xmlns:ds="http://schemas.openxmlformats.org/officeDocument/2006/customXml" ds:itemID="{B9A0BDE5-96D8-4A68-BAFF-810BF47F1B9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0x0101006D69612D6940EA4FA5C864713CC79B42</vt:lpwstr>
  </property>
</Properties>
</file>