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Figure and Table Standards</w:t>
      </w:r>
    </w:p>
    <w:p>
      <w:pPr>
        <w:jc w:val="center"/>
      </w:pPr>
      <w:r>
        <w:rPr>
          <w:sz w:val="24"/>
        </w:rPr>
        <w:t>Quality-control document for report outputs</w:t>
      </w:r>
    </w:p>
    <w:p>
      <w:pPr>
        <w:jc w:val="center"/>
      </w:pPr>
      <w:r>
        <w:t>Version 0.1 | 05/06/2026 | For internal pilot use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required tables and decision-support figures for Innovation Commercialisation Exploration Reports.</w:t>
      </w:r>
    </w:p>
    <w:p>
      <w:pPr>
        <w:pStyle w:val="Heading1"/>
      </w:pPr>
      <w:r>
        <w:t>2. Required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Required columns</w:t>
            </w:r>
          </w:p>
        </w:tc>
      </w:tr>
      <w:tr>
        <w:tc>
          <w:tcPr>
            <w:tcW w:type="dxa" w:w="3360"/>
            <w:vAlign w:val="top"/>
          </w:tcPr>
          <w:p>
            <w:r>
              <w:t>Extracted innovation profile</w:t>
            </w:r>
          </w:p>
        </w:tc>
        <w:tc>
          <w:tcPr>
            <w:tcW w:type="dxa" w:w="3360"/>
            <w:vAlign w:val="top"/>
          </w:tcPr>
          <w:p>
            <w:r>
              <w:t>Summarise disclosure data and gaps.</w:t>
            </w:r>
          </w:p>
        </w:tc>
        <w:tc>
          <w:tcPr>
            <w:tcW w:type="dxa" w:w="3360"/>
            <w:vAlign w:val="top"/>
          </w:tcPr>
          <w:p>
            <w:r>
              <w:t>Field; extracted information; confidence; notes/missing information.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Market applications</w:t>
            </w:r>
          </w:p>
        </w:tc>
        <w:tc>
          <w:tcPr>
            <w:tcW w:type="dxa" w:w="3360"/>
            <w:vAlign w:val="top"/>
          </w:tcPr>
          <w:p>
            <w:r>
              <w:t>Rank market opportunities.</w:t>
            </w:r>
          </w:p>
        </w:tc>
        <w:tc>
          <w:tcPr>
            <w:tcW w:type="dxa" w:w="3360"/>
            <w:vAlign w:val="top"/>
          </w:tcPr>
          <w:p>
            <w:r>
              <w:t>Rank; application; sector; customer/user; problem; evidence/source; attractiveness; confidence.</w:t>
            </w:r>
          </w:p>
        </w:tc>
      </w:tr>
      <w:tr>
        <w:tc>
          <w:tcPr>
            <w:tcW w:type="dxa" w:w="3360"/>
            <w:vAlign w:val="top"/>
          </w:tcPr>
          <w:p>
            <w:r>
              <w:t>Prior art and competing technologies</w:t>
            </w:r>
          </w:p>
        </w:tc>
        <w:tc>
          <w:tcPr>
            <w:tcW w:type="dxa" w:w="3360"/>
            <w:vAlign w:val="top"/>
          </w:tcPr>
          <w:p>
            <w:r>
              <w:t>Compare existing solutions.</w:t>
            </w:r>
          </w:p>
        </w:tc>
        <w:tc>
          <w:tcPr>
            <w:tcW w:type="dxa" w:w="3360"/>
            <w:vAlign w:val="top"/>
          </w:tcPr>
          <w:p>
            <w:r>
              <w:t>Type; title/name; organisation/authors; relevance; similarity; differentiation; risk; source.</w:t>
            </w:r>
          </w:p>
        </w:tc>
      </w:tr>
      <w:tr>
        <w:tc>
          <w:tcPr>
            <w:tcW w:type="dxa" w:w="3360"/>
            <w:vAlign w:val="top"/>
          </w:tcPr>
          <w:p>
            <w:r>
              <w:t>Company matching</w:t>
            </w:r>
          </w:p>
        </w:tc>
        <w:tc>
          <w:tcPr>
            <w:tcW w:type="dxa" w:w="3360"/>
            <w:vAlign w:val="top"/>
          </w:tcPr>
          <w:p>
            <w:r>
              <w:t>Rank potential partners.</w:t>
            </w:r>
          </w:p>
        </w:tc>
        <w:tc>
          <w:tcPr>
            <w:tcW w:type="dxa" w:w="3360"/>
            <w:vAlign w:val="top"/>
          </w:tcPr>
          <w:p>
            <w:r>
              <w:t>Rank; company; country; sector; evidence of fit; engagement route; priority; confidence; source.</w:t>
            </w:r>
          </w:p>
        </w:tc>
      </w:tr>
      <w:tr>
        <w:tc>
          <w:tcPr>
            <w:tcW w:type="dxa" w:w="3360"/>
            <w:vAlign w:val="top"/>
          </w:tcPr>
          <w:p>
            <w:r>
              <w:t>Contact strategy</w:t>
            </w:r>
          </w:p>
        </w:tc>
        <w:tc>
          <w:tcPr>
            <w:tcW w:type="dxa" w:w="3360"/>
            <w:vAlign w:val="top"/>
          </w:tcPr>
          <w:p>
            <w:r>
              <w:t>Guide responsible outreach.</w:t>
            </w:r>
          </w:p>
        </w:tc>
        <w:tc>
          <w:tcPr>
            <w:tcW w:type="dxa" w:w="3360"/>
            <w:vAlign w:val="top"/>
          </w:tcPr>
          <w:p>
            <w:r>
              <w:t>Company; target role/contact; reason; route; source; compliance notes; confidence.</w:t>
            </w:r>
          </w:p>
        </w:tc>
      </w:tr>
      <w:tr>
        <w:tc>
          <w:tcPr>
            <w:tcW w:type="dxa" w:w="3360"/>
            <w:vAlign w:val="top"/>
          </w:tcPr>
          <w:p>
            <w:r>
              <w:t>Development roadmap</w:t>
            </w:r>
          </w:p>
        </w:tc>
        <w:tc>
          <w:tcPr>
            <w:tcW w:type="dxa" w:w="3360"/>
            <w:vAlign w:val="top"/>
          </w:tcPr>
          <w:p>
            <w:r>
              <w:t>Plan translational development.</w:t>
            </w:r>
          </w:p>
        </w:tc>
        <w:tc>
          <w:tcPr>
            <w:tcW w:type="dxa" w:w="3360"/>
            <w:vAlign w:val="top"/>
          </w:tcPr>
          <w:p>
            <w:r>
              <w:t>Stage; objective; activities; evidence; funding/partner route; timeframe; risks.</w:t>
            </w:r>
          </w:p>
        </w:tc>
      </w:tr>
      <w:tr>
        <w:tc>
          <w:tcPr>
            <w:tcW w:type="dxa" w:w="3360"/>
            <w:vAlign w:val="top"/>
          </w:tcPr>
          <w:p>
            <w:r>
              <w:t>Risk register</w:t>
            </w:r>
          </w:p>
        </w:tc>
        <w:tc>
          <w:tcPr>
            <w:tcW w:type="dxa" w:w="3360"/>
            <w:vAlign w:val="top"/>
          </w:tcPr>
          <w:p>
            <w:r>
              <w:t>Capture decision risks.</w:t>
            </w:r>
          </w:p>
        </w:tc>
        <w:tc>
          <w:tcPr>
            <w:tcW w:type="dxa" w:w="3360"/>
            <w:vAlign w:val="top"/>
          </w:tcPr>
          <w:p>
            <w:r>
              <w:t>Risk category; description; severity; likelihood; mitigation; owner/reviewer; status.</w:t>
            </w:r>
          </w:p>
        </w:tc>
      </w:tr>
      <w:tr>
        <w:tc>
          <w:tcPr>
            <w:tcW w:type="dxa" w:w="3360"/>
            <w:vAlign w:val="top"/>
          </w:tcPr>
          <w:p>
            <w:r>
              <w:t>References</w:t>
            </w:r>
          </w:p>
        </w:tc>
        <w:tc>
          <w:tcPr>
            <w:tcW w:type="dxa" w:w="3360"/>
            <w:vAlign w:val="top"/>
          </w:tcPr>
          <w:p>
            <w:r>
              <w:t>Audit evidence.</w:t>
            </w:r>
          </w:p>
        </w:tc>
        <w:tc>
          <w:tcPr>
            <w:tcW w:type="dxa" w:w="3360"/>
            <w:vAlign w:val="top"/>
          </w:tcPr>
          <w:p>
            <w:r>
              <w:t>Claim/section; source title; publisher; URL; date; confidence.</w:t>
            </w:r>
          </w:p>
        </w:tc>
      </w:tr>
    </w:tbl>
    <w:p>
      <w:pPr>
        <w:pStyle w:val="Heading1"/>
      </w:pPr>
      <w:r>
        <w:t>3. Required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Format</w:t>
            </w:r>
          </w:p>
        </w:tc>
      </w:tr>
      <w:tr>
        <w:tc>
          <w:tcPr>
            <w:tcW w:type="dxa" w:w="3360"/>
            <w:vAlign w:val="top"/>
          </w:tcPr>
          <w:p>
            <w:r>
              <w:t>Technology-to-market map</w:t>
            </w:r>
          </w:p>
        </w:tc>
        <w:tc>
          <w:tcPr>
            <w:tcW w:type="dxa" w:w="3360"/>
            <w:vAlign w:val="top"/>
          </w:tcPr>
          <w:p>
            <w:r>
              <w:t>Show how capabilities map to applications and value propositions.</w:t>
            </w:r>
          </w:p>
        </w:tc>
        <w:tc>
          <w:tcPr>
            <w:tcW w:type="dxa" w:w="3360"/>
            <w:vAlign w:val="top"/>
          </w:tcPr>
          <w:p>
            <w:r>
              <w:t>Table or SmartArt map.</w:t>
            </w:r>
          </w:p>
        </w:tc>
      </w:tr>
      <w:tr>
        <w:tc>
          <w:tcPr>
            <w:tcW w:type="dxa" w:w="3360"/>
            <w:vAlign w:val="top"/>
          </w:tcPr>
          <w:p>
            <w:r>
              <w:t>Market attractiveness matrix</w:t>
            </w:r>
          </w:p>
        </w:tc>
        <w:tc>
          <w:tcPr>
            <w:tcW w:type="dxa" w:w="3360"/>
            <w:vAlign w:val="top"/>
          </w:tcPr>
          <w:p>
            <w:r>
              <w:t>Prioritise applications by attractiveness and adoption difficulty.</w:t>
            </w:r>
          </w:p>
        </w:tc>
        <w:tc>
          <w:tcPr>
            <w:tcW w:type="dxa" w:w="3360"/>
            <w:vAlign w:val="top"/>
          </w:tcPr>
          <w:p>
            <w:r>
              <w:t>2x2 or scatter matrix.</w:t>
            </w:r>
          </w:p>
        </w:tc>
      </w:tr>
      <w:tr>
        <w:tc>
          <w:tcPr>
            <w:tcW w:type="dxa" w:w="3360"/>
            <w:vAlign w:val="top"/>
          </w:tcPr>
          <w:p>
            <w:r>
              <w:t>Competitive positioning matrix</w:t>
            </w:r>
          </w:p>
        </w:tc>
        <w:tc>
          <w:tcPr>
            <w:tcW w:type="dxa" w:w="3360"/>
            <w:vAlign w:val="top"/>
          </w:tcPr>
          <w:p>
            <w:r>
              <w:t>Show differentiation against substitutes.</w:t>
            </w:r>
          </w:p>
        </w:tc>
        <w:tc>
          <w:tcPr>
            <w:tcW w:type="dxa" w:w="3360"/>
            <w:vAlign w:val="top"/>
          </w:tcPr>
          <w:p>
            <w:r>
              <w:t>2-axis positioning plot.</w:t>
            </w:r>
          </w:p>
        </w:tc>
      </w:tr>
      <w:tr>
        <w:tc>
          <w:tcPr>
            <w:tcW w:type="dxa" w:w="3360"/>
            <w:vAlign w:val="top"/>
          </w:tcPr>
          <w:p>
            <w:r>
              <w:t>Company relevance vs ease-of-engagement chart</w:t>
            </w:r>
          </w:p>
        </w:tc>
        <w:tc>
          <w:tcPr>
            <w:tcW w:type="dxa" w:w="3360"/>
            <w:vAlign w:val="top"/>
          </w:tcPr>
          <w:p>
            <w:r>
              <w:t>Prioritise partner targets.</w:t>
            </w:r>
          </w:p>
        </w:tc>
        <w:tc>
          <w:tcPr>
            <w:tcW w:type="dxa" w:w="3360"/>
            <w:vAlign w:val="top"/>
          </w:tcPr>
          <w:p>
            <w:r>
              <w:t>2-axis matrix or bubble chart.</w:t>
            </w:r>
          </w:p>
        </w:tc>
      </w:tr>
      <w:tr>
        <w:tc>
          <w:tcPr>
            <w:tcW w:type="dxa" w:w="3360"/>
            <w:vAlign w:val="top"/>
          </w:tcPr>
          <w:p>
            <w:r>
              <w:t>Development roadmap</w:t>
            </w:r>
          </w:p>
        </w:tc>
        <w:tc>
          <w:tcPr>
            <w:tcW w:type="dxa" w:w="3360"/>
            <w:vAlign w:val="top"/>
          </w:tcPr>
          <w:p>
            <w:r>
              <w:t>Show milestones and decision gates.</w:t>
            </w:r>
          </w:p>
        </w:tc>
        <w:tc>
          <w:tcPr>
            <w:tcW w:type="dxa" w:w="3360"/>
            <w:vAlign w:val="top"/>
          </w:tcPr>
          <w:p>
            <w:r>
              <w:t>Timeline/roadmap.</w:t>
            </w:r>
          </w:p>
        </w:tc>
      </w:tr>
      <w:tr>
        <w:tc>
          <w:tcPr>
            <w:tcW w:type="dxa" w:w="3360"/>
            <w:vAlign w:val="top"/>
          </w:tcPr>
          <w:p>
            <w:r>
              <w:t>Commercialisation route decision tree</w:t>
            </w:r>
          </w:p>
        </w:tc>
        <w:tc>
          <w:tcPr>
            <w:tcW w:type="dxa" w:w="3360"/>
            <w:vAlign w:val="top"/>
          </w:tcPr>
          <w:p>
            <w:r>
              <w:t>Explain route recommendation.</w:t>
            </w:r>
          </w:p>
        </w:tc>
        <w:tc>
          <w:tcPr>
            <w:tcW w:type="dxa" w:w="3360"/>
            <w:vAlign w:val="top"/>
          </w:tcPr>
          <w:p>
            <w:r>
              <w:t>Decision tree.</w:t>
            </w:r>
          </w:p>
        </w:tc>
      </w:tr>
    </w:tbl>
    <w:p>
      <w:pPr>
        <w:pStyle w:val="Heading1"/>
      </w:pPr>
      <w:r>
        <w:t>4. Scoring rules</w:t>
      </w:r>
    </w:p>
    <w:p>
      <w:pPr>
        <w:pStyle w:val="ListBullet"/>
      </w:pPr>
      <w:r>
        <w:t>Use 1–5 scoring for figure axes unless quantitative data is available.</w:t>
      </w:r>
    </w:p>
    <w:p>
      <w:pPr>
        <w:pStyle w:val="ListBullet"/>
      </w:pPr>
      <w:r>
        <w:t>Explain all scoring assumptions.</w:t>
      </w:r>
    </w:p>
    <w:p>
      <w:pPr>
        <w:pStyle w:val="ListBullet"/>
      </w:pPr>
      <w:r>
        <w:t>Do not imply precision where evidence is qualitative.</w:t>
      </w:r>
    </w:p>
    <w:p>
      <w:pPr>
        <w:pStyle w:val="ListBullet"/>
      </w:pPr>
      <w:r>
        <w:t>Mark low-confidence scores clearly.</w:t>
      </w:r>
    </w:p>
    <w:p>
      <w:pPr>
        <w:pStyle w:val="ListBullet"/>
      </w:pPr>
      <w:r>
        <w:t>Figures must support a decision; avoid decorative visuals.</w:t>
      </w:r>
    </w:p>
    <w:p>
      <w:pPr>
        <w:pStyle w:val="Heading1"/>
      </w:pPr>
      <w:r>
        <w:t>5. Caption standard</w:t>
      </w:r>
    </w:p>
    <w:p>
      <w:r>
        <w:t>Each figure must include: figure number, title, one-sentence purpose, data source/assumption note and interpretation.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69612D6940EA4FA5C864713CC79B42" ma:contentTypeVersion="29" ma:contentTypeDescription="Create a new document." ma:contentTypeScope="" ma:versionID="ca362d17f7f6d2a4a319ec8027bb9ae4">
  <xsd:schema xmlns:xsd="http://www.w3.org/2001/XMLSchema" xmlns:xs="http://www.w3.org/2001/XMLSchema" xmlns:p="http://schemas.microsoft.com/office/2006/metadata/properties" xmlns:ns2="86babe94-8a02-46bc-a9b7-a676cc214797" xmlns:ns3="674cd553-a806-4508-beda-90fdf9affe65" targetNamespace="http://schemas.microsoft.com/office/2006/metadata/properties" ma:root="true" ma:fieldsID="2f03b6c9af8e12bdf5fe815a6e181891" ns2:_="" ns3:_="">
    <xsd:import namespace="86babe94-8a02-46bc-a9b7-a676cc214797"/>
    <xsd:import namespace="674cd553-a806-4508-beda-90fdf9aff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Tech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Name1" minOccurs="0"/>
                <xsd:element ref="ns3:School" minOccurs="0"/>
                <xsd:element ref="ns3:Faculty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abe94-8a02-46bc-a9b7-a676cc214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chID" ma:index="20" nillable="true" ma:displayName="Tech ID" ma:description="free text" ma:format="RadioButtons" ma:internalName="TechID">
      <xsd:simpleType>
        <xsd:union memberTypes="dms:Text">
          <xsd:simpleType>
            <xsd:restriction base="dms:Choice">
              <xsd:enumeration value="Free"/>
              <xsd:enumeration value="text"/>
            </xsd:restriction>
          </xsd:simpleType>
        </xsd:un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cd553-a806-4508-beda-90fdf9aff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a32af48-fd1c-4046-8aa4-8b498b828087}" ma:internalName="TaxCatchAll" ma:showField="CatchAllData" ma:web="674cd553-a806-4508-beda-90fdf9aff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me1" ma:index="27" nillable="true" ma:displayName="Name" ma:internalName="Name1">
      <xsd:simpleType>
        <xsd:restriction base="dms:Text"/>
      </xsd:simpleType>
    </xsd:element>
    <xsd:element name="School" ma:index="28" nillable="true" ma:displayName="School" ma:internalName="School">
      <xsd:simpleType>
        <xsd:restriction base="dms:Text"/>
      </xsd:simpleType>
    </xsd:element>
    <xsd:element name="Faculty" ma:index="29" nillable="true" ma:displayName="Faculty" ma:internalName="Facult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abe94-8a02-46bc-a9b7-a676cc214797">
      <Terms xmlns="http://schemas.microsoft.com/office/infopath/2007/PartnerControls"/>
    </lcf76f155ced4ddcb4097134ff3c332f>
    <School xmlns="674cd553-a806-4508-beda-90fdf9affe65" xsi:nil="true"/>
    <TechID xmlns="86babe94-8a02-46bc-a9b7-a676cc214797" xsi:nil="true"/>
    <TaxCatchAll xmlns="674cd553-a806-4508-beda-90fdf9affe65" xsi:nil="true"/>
    <_Flow_SignoffStatus xmlns="86babe94-8a02-46bc-a9b7-a676cc214797" xsi:nil="true"/>
    <Name1 xmlns="674cd553-a806-4508-beda-90fdf9affe65" xsi:nil="true"/>
    <Faculty xmlns="674cd553-a806-4508-beda-90fdf9affe6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7B1856-2CB2-4932-801B-152ADC9272E2}"/>
</file>

<file path=customXml/itemProps3.xml><?xml version="1.0" encoding="utf-8"?>
<ds:datastoreItem xmlns:ds="http://schemas.openxmlformats.org/officeDocument/2006/customXml" ds:itemID="{1DDF2654-877B-43A4-9325-6A63DE6A9061}"/>
</file>

<file path=customXml/itemProps4.xml><?xml version="1.0" encoding="utf-8"?>
<ds:datastoreItem xmlns:ds="http://schemas.openxmlformats.org/officeDocument/2006/customXml" ds:itemID="{689C41F2-6E21-466F-8613-72E375796F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0x0101006D69612D6940EA4FA5C864713CC79B42</vt:lpwstr>
  </property>
</Properties>
</file>