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IP and Legal Flagging Rules</w:t>
      </w:r>
    </w:p>
    <w:p>
      <w:pPr>
        <w:jc w:val="center"/>
      </w:pPr>
      <w:r>
        <w:rPr>
          <w:sz w:val="24"/>
        </w:rPr>
        <w:t>Governance document for non-legal risk flagging</w:t>
      </w:r>
    </w:p>
    <w:p>
      <w:pPr>
        <w:jc w:val="center"/>
      </w:pPr>
      <w:r>
        <w:t>Version 0.1 | 05/06/2026 | For internal pilot use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how the agent should flag intellectual property, contractual, disclosure, software, data and regulatory issues without providing legal advice.</w:t>
      </w:r>
    </w:p>
    <w:p>
      <w:pPr>
        <w:pStyle w:val="Heading1"/>
      </w:pPr>
      <w:r>
        <w:t>2. Core rule</w:t>
      </w:r>
    </w:p>
    <w:p>
      <w:r>
        <w:t>The agent must not provide legal advice, patentability opinions, freedom-to-operate conclusions, infringement opinions, ownership determinations or contractual interpretations. It may identify issues for human IP/commercialisation/legal review.</w:t>
      </w:r>
    </w:p>
    <w:p>
      <w:pPr>
        <w:pStyle w:val="Heading1"/>
      </w:pPr>
      <w:r>
        <w:t>3. Required flag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Examples of flags</w:t>
            </w:r>
          </w:p>
        </w:tc>
      </w:tr>
      <w:tr>
        <w:tc>
          <w:tcPr>
            <w:tcW w:type="dxa" w:w="5040"/>
            <w:vAlign w:val="top"/>
          </w:tcPr>
          <w:p>
            <w:r>
              <w:t>Patentability/prior art</w:t>
            </w:r>
          </w:p>
        </w:tc>
        <w:tc>
          <w:tcPr>
            <w:tcW w:type="dxa" w:w="5040"/>
            <w:vAlign w:val="top"/>
          </w:tcPr>
          <w:p>
            <w:r>
              <w:t>Similar patents/publications; public disclosure before filing; weak novelty indicators.</w:t>
            </w:r>
          </w:p>
        </w:tc>
      </w:tr>
      <w:tr>
        <w:tc>
          <w:tcPr>
            <w:tcW w:type="dxa" w:w="5040"/>
            <w:vAlign w:val="top"/>
          </w:tcPr>
          <w:p>
            <w:r>
              <w:t>Ownership/sponsor rights</w:t>
            </w:r>
          </w:p>
        </w:tc>
        <w:tc>
          <w:tcPr>
            <w:tcW w:type="dxa" w:w="5040"/>
            <w:vAlign w:val="top"/>
          </w:tcPr>
          <w:p>
            <w:r>
              <w:t>External funder, sponsor, collaborator, student, visitor or third-party contribution.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Publication/disclosure urgency</w:t>
            </w:r>
          </w:p>
        </w:tc>
        <w:tc>
          <w:tcPr>
            <w:tcW w:type="dxa" w:w="5040"/>
            <w:vAlign w:val="top"/>
          </w:tcPr>
          <w:p>
            <w:r>
              <w:t>Upcoming conference, thesis, paper, demo, repository release or partner presentation.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Software copyright/open source</w:t>
            </w:r>
          </w:p>
        </w:tc>
        <w:tc>
          <w:tcPr>
            <w:tcW w:type="dxa" w:w="5040"/>
            <w:vAlign w:val="top"/>
          </w:tcPr>
          <w:p>
            <w:r>
              <w:t>GPL/AGPL/copyleft dependency; unclear licence; AI-generated code; third-party code.</w:t>
            </w:r>
          </w:p>
        </w:tc>
      </w:tr>
      <w:tr>
        <w:tc>
          <w:tcPr>
            <w:tcW w:type="dxa" w:w="5040"/>
            <w:vAlign w:val="top"/>
          </w:tcPr>
          <w:p>
            <w:r>
              <w:t>Data/database rights</w:t>
            </w:r>
          </w:p>
        </w:tc>
        <w:tc>
          <w:tcPr>
            <w:tcW w:type="dxa" w:w="5040"/>
            <w:vAlign w:val="top"/>
          </w:tcPr>
          <w:p>
            <w:r>
              <w:t>Third-party dataset; unclear dataset licence; personal data; trained model dependency.</w:t>
            </w:r>
          </w:p>
        </w:tc>
      </w:tr>
      <w:tr>
        <w:tc>
          <w:tcPr>
            <w:tcW w:type="dxa" w:w="5040"/>
            <w:vAlign w:val="top"/>
          </w:tcPr>
          <w:p>
            <w:r>
              <w:t>Design/trademark/know-how</w:t>
            </w:r>
          </w:p>
        </w:tc>
        <w:tc>
          <w:tcPr>
            <w:tcW w:type="dxa" w:w="5040"/>
            <w:vAlign w:val="top"/>
          </w:tcPr>
          <w:p>
            <w:r>
              <w:t>Product appearance, brand names, unpublished methods, secret know-how.</w:t>
            </w:r>
          </w:p>
        </w:tc>
      </w:tr>
      <w:tr>
        <w:tc>
          <w:tcPr>
            <w:tcW w:type="dxa" w:w="5040"/>
            <w:vAlign w:val="top"/>
          </w:tcPr>
          <w:p>
            <w:r>
              <w:t>Regulatory/standards</w:t>
            </w:r>
          </w:p>
        </w:tc>
        <w:tc>
          <w:tcPr>
            <w:tcW w:type="dxa" w:w="5040"/>
            <w:vAlign w:val="top"/>
          </w:tcPr>
          <w:p>
            <w:r>
              <w:t>Medical, safety, environmental, AI, cyber, export-control or sector standards.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Contracts/confidentiality</w:t>
            </w:r>
          </w:p>
        </w:tc>
        <w:tc>
          <w:tcPr>
            <w:tcW w:type="dxa" w:w="5040"/>
            <w:vAlign w:val="top"/>
          </w:tcPr>
          <w:p>
            <w:r>
              <w:t>NDA, collaboration agreement, MTA, DTA, consultancy, sponsored research or licence.</w:t>
            </w:r>
          </w:p>
        </w:tc>
      </w:tr>
    </w:tbl>
    <w:p>
      <w:pPr>
        <w:pStyle w:val="Heading1"/>
      </w:pPr>
      <w:r>
        <w:t>4. Output language</w:t>
      </w:r>
    </w:p>
    <w:p>
      <w:pPr>
        <w:pStyle w:val="ListBullet"/>
      </w:pPr>
      <w:r>
        <w:t>Use “flag”, “issue for review”, “potential risk” and “recommended review”.</w:t>
      </w:r>
    </w:p>
    <w:p>
      <w:pPr>
        <w:pStyle w:val="ListBullet"/>
      </w:pPr>
      <w:r>
        <w:t>Avoid “is patentable”, “infringes”, “owned by”, “legally compliant” or “free to operate”.</w:t>
      </w:r>
    </w:p>
    <w:p>
      <w:pPr>
        <w:pStyle w:val="ListBullet"/>
      </w:pPr>
      <w:r>
        <w:t>For urgent publication risks, recommend immediate IP/commercialisation review.</w:t>
      </w:r>
    </w:p>
    <w:p>
      <w:pPr>
        <w:pStyle w:val="Heading1"/>
      </w:pPr>
      <w:r>
        <w:t>5. Required IP/legal section structure</w:t>
      </w:r>
    </w:p>
    <w:p>
      <w:pPr>
        <w:pStyle w:val="ListNumber"/>
      </w:pPr>
      <w:r>
        <w:t>Likely IPR categories.</w:t>
      </w:r>
    </w:p>
    <w:p>
      <w:pPr>
        <w:pStyle w:val="ListNumber"/>
      </w:pPr>
      <w:r>
        <w:t>Publication/disclosure urgency.</w:t>
      </w:r>
    </w:p>
    <w:p>
      <w:pPr>
        <w:pStyle w:val="ListNumber"/>
      </w:pPr>
      <w:r>
        <w:t>Prior-art and patentability flags.</w:t>
      </w:r>
    </w:p>
    <w:p>
      <w:pPr>
        <w:pStyle w:val="ListNumber"/>
      </w:pPr>
      <w:r>
        <w:t>Ownership/sponsor/agreement flags.</w:t>
      </w:r>
    </w:p>
    <w:p>
      <w:pPr>
        <w:pStyle w:val="ListNumber"/>
      </w:pPr>
      <w:r>
        <w:t>Software/open-source/data flags where relevant.</w:t>
      </w:r>
    </w:p>
    <w:p>
      <w:pPr>
        <w:pStyle w:val="ListNumber"/>
      </w:pPr>
      <w:r>
        <w:t>Regulatory/standards flags where relevant.</w:t>
      </w:r>
    </w:p>
    <w:p>
      <w:pPr>
        <w:pStyle w:val="ListNumber"/>
      </w:pPr>
      <w:r>
        <w:t>Recommended human review actions.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079BD4-0756-4EAB-B9E0-6051B94787B7}"/>
</file>

<file path=customXml/itemProps3.xml><?xml version="1.0" encoding="utf-8"?>
<ds:datastoreItem xmlns:ds="http://schemas.openxmlformats.org/officeDocument/2006/customXml" ds:itemID="{3499E9DF-93DD-4EF6-8BEB-D59F4EE27234}"/>
</file>

<file path=customXml/itemProps4.xml><?xml version="1.0" encoding="utf-8"?>
<ds:datastoreItem xmlns:ds="http://schemas.openxmlformats.org/officeDocument/2006/customXml" ds:itemID="{E090227B-B8FA-4B7E-A653-6299A6B7D8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