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Report Quality-Control Checklist</w:t>
      </w:r>
    </w:p>
    <w:p>
      <w:pPr>
        <w:jc w:val="center"/>
      </w:pPr>
      <w:r>
        <w:rPr>
          <w:sz w:val="24"/>
        </w:rPr>
        <w:t>Reviewer checklist for commercialisation reports</w:t>
      </w:r>
    </w:p>
    <w:p>
      <w:pPr>
        <w:jc w:val="center"/>
      </w:pPr>
      <w:r>
        <w:t>Version 0.1 | 05/06/2026 | For internal pilot use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t>This checklist standardises review of agent-generated Innovation Commercialisation Exploration Reports before they are relied upon or shared.</w:t>
      </w:r>
    </w:p>
    <w:p>
      <w:pPr>
        <w:pStyle w:val="Heading1"/>
      </w:pPr>
      <w:r>
        <w:t>2.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Pass / Partial / Fail</w:t>
            </w:r>
          </w:p>
        </w:tc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Reviewer notes</w:t>
            </w:r>
          </w:p>
        </w:tc>
      </w:tr>
      <w:tr>
        <w:tc>
          <w:tcPr>
            <w:tcW w:type="dxa" w:w="2520"/>
            <w:vAlign w:val="top"/>
          </w:tcPr>
          <w:p>
            <w:r>
              <w:t>Structure</w:t>
            </w:r>
          </w:p>
        </w:tc>
        <w:tc>
          <w:tcPr>
            <w:tcW w:type="dxa" w:w="2520"/>
            <w:vAlign w:val="top"/>
          </w:tcPr>
          <w:p>
            <w:r>
              <w:t>Report follows the approved template and includes all required sections.</w:t>
            </w:r>
          </w:p>
        </w:tc>
        <w:tc>
          <w:tcPr>
            <w:tcW w:type="dxa" w:w="2520"/>
            <w:vAlign w:val="top"/>
          </w:tcPr>
          <w:p>
            <w:r/>
          </w:p>
        </w:tc>
        <w:tc>
          <w:tcPr>
            <w:tcW w:type="dxa" w:w="2520"/>
            <w:vAlign w:val="top"/>
          </w:tcPr>
          <w:p>
            <w:r/>
          </w:p>
        </w:tc>
      </w:tr>
      <w:tr>
        <w:tc>
          <w:tcPr>
            <w:tcW w:type="dxa" w:w="2520"/>
            <w:vAlign w:val="top"/>
          </w:tcPr>
          <w:p>
            <w:r>
              <w:t>Confidentiality</w:t>
            </w:r>
          </w:p>
        </w:tc>
        <w:tc>
          <w:tcPr>
            <w:tcW w:type="dxa" w:w="2520"/>
            <w:vAlign w:val="top"/>
          </w:tcPr>
          <w:p>
            <w:r>
              <w:t>Confidential information is protected and search terms are non-confidential.</w:t>
            </w:r>
          </w:p>
        </w:tc>
        <w:tc>
          <w:tcPr>
            <w:tcW w:type="dxa" w:w="2520"/>
            <w:vAlign w:val="top"/>
          </w:tcPr>
          <w:p>
            <w:r/>
          </w:p>
        </w:tc>
        <w:tc>
          <w:tcPr>
            <w:tcW w:type="dxa" w:w="2520"/>
            <w:vAlign w:val="top"/>
          </w:tcPr>
          <w:p>
            <w:r/>
          </w:p>
        </w:tc>
      </w:tr>
      <w:tr>
        <w:tc>
          <w:tcPr>
            <w:tcW w:type="dxa" w:w="2520"/>
            <w:vAlign w:val="top"/>
          </w:tcPr>
          <w:p>
            <w:r>
              <w:t>Extraction</w:t>
            </w:r>
          </w:p>
        </w:tc>
        <w:tc>
          <w:tcPr>
            <w:tcW w:type="dxa" w:w="2520"/>
            <w:vAlign w:val="top"/>
          </w:tcPr>
          <w:p>
            <w:r>
              <w:t>Disclosure data is accurately extracted and missing information is flagged.</w:t>
            </w:r>
          </w:p>
        </w:tc>
        <w:tc>
          <w:tcPr>
            <w:tcW w:type="dxa" w:w="2520"/>
            <w:vAlign w:val="top"/>
          </w:tcPr>
          <w:p>
            <w:r/>
          </w:p>
        </w:tc>
        <w:tc>
          <w:tcPr>
            <w:tcW w:type="dxa" w:w="2520"/>
            <w:vAlign w:val="top"/>
          </w:tcPr>
          <w:p>
            <w:r/>
          </w:p>
        </w:tc>
      </w:tr>
      <w:tr>
        <w:tc>
          <w:tcPr>
            <w:tcW w:type="dxa" w:w="2520"/>
            <w:vAlign w:val="top"/>
          </w:tcPr>
          <w:p>
            <w:r>
              <w:t>Sources</w:t>
            </w:r>
          </w:p>
        </w:tc>
        <w:tc>
          <w:tcPr>
            <w:tcW w:type="dxa" w:w="2520"/>
            <w:vAlign w:val="top"/>
          </w:tcPr>
          <w:p>
            <w:r>
              <w:t>Factual claims include source notes or are marked as assumptions.</w:t>
            </w:r>
          </w:p>
        </w:tc>
        <w:tc>
          <w:tcPr>
            <w:tcW w:type="dxa" w:w="2520"/>
            <w:vAlign w:val="top"/>
          </w:tcPr>
          <w:p>
            <w:r/>
          </w:p>
        </w:tc>
        <w:tc>
          <w:tcPr>
            <w:tcW w:type="dxa" w:w="2520"/>
            <w:vAlign w:val="top"/>
          </w:tcPr>
          <w:p>
            <w:r/>
          </w:p>
        </w:tc>
      </w:tr>
      <w:tr>
        <w:tc>
          <w:tcPr>
            <w:tcW w:type="dxa" w:w="2520"/>
            <w:vAlign w:val="top"/>
          </w:tcPr>
          <w:p>
            <w:r>
              <w:t>Market analysis</w:t>
            </w:r>
          </w:p>
        </w:tc>
        <w:tc>
          <w:tcPr>
            <w:tcW w:type="dxa" w:w="2520"/>
            <w:vAlign w:val="top"/>
          </w:tcPr>
          <w:p>
            <w:r>
              <w:t>Market applications are relevant and ranked with rationale.</w:t>
            </w:r>
          </w:p>
        </w:tc>
        <w:tc>
          <w:tcPr>
            <w:tcW w:type="dxa" w:w="2520"/>
            <w:vAlign w:val="top"/>
          </w:tcPr>
          <w:p>
            <w:r/>
          </w:p>
        </w:tc>
        <w:tc>
          <w:tcPr>
            <w:tcW w:type="dxa" w:w="2520"/>
            <w:vAlign w:val="top"/>
          </w:tcPr>
          <w:p>
            <w:r/>
          </w:p>
        </w:tc>
      </w:tr>
      <w:tr>
        <w:tc>
          <w:tcPr>
            <w:tcW w:type="dxa" w:w="2520"/>
            <w:vAlign w:val="top"/>
          </w:tcPr>
          <w:p>
            <w:r>
              <w:t>Prior art</w:t>
            </w:r>
          </w:p>
        </w:tc>
        <w:tc>
          <w:tcPr>
            <w:tcW w:type="dxa" w:w="2520"/>
            <w:vAlign w:val="top"/>
          </w:tcPr>
          <w:p>
            <w:r>
              <w:t>Patent/publication/product landscape is sourced and caveated.</w:t>
            </w:r>
          </w:p>
        </w:tc>
        <w:tc>
          <w:tcPr>
            <w:tcW w:type="dxa" w:w="2520"/>
            <w:vAlign w:val="top"/>
          </w:tcPr>
          <w:p>
            <w:r/>
          </w:p>
        </w:tc>
        <w:tc>
          <w:tcPr>
            <w:tcW w:type="dxa" w:w="2520"/>
            <w:vAlign w:val="top"/>
          </w:tcPr>
          <w:p>
            <w:r/>
          </w:p>
        </w:tc>
      </w:tr>
      <w:tr>
        <w:tc>
          <w:tcPr>
            <w:tcW w:type="dxa" w:w="2520"/>
            <w:vAlign w:val="top"/>
          </w:tcPr>
          <w:p>
            <w:r>
              <w:t>Company matching</w:t>
            </w:r>
          </w:p>
        </w:tc>
        <w:tc>
          <w:tcPr>
            <w:tcW w:type="dxa" w:w="2520"/>
            <w:vAlign w:val="top"/>
          </w:tcPr>
          <w:p>
            <w:r>
              <w:t>Company recommendations are evidence-based and scored.</w:t>
            </w:r>
          </w:p>
        </w:tc>
        <w:tc>
          <w:tcPr>
            <w:tcW w:type="dxa" w:w="2520"/>
            <w:vAlign w:val="top"/>
          </w:tcPr>
          <w:p>
            <w:r/>
          </w:p>
        </w:tc>
        <w:tc>
          <w:tcPr>
            <w:tcW w:type="dxa" w:w="2520"/>
            <w:vAlign w:val="top"/>
          </w:tcPr>
          <w:p>
            <w:r/>
          </w:p>
        </w:tc>
      </w:tr>
      <w:tr>
        <w:tc>
          <w:tcPr>
            <w:tcW w:type="dxa" w:w="2520"/>
            <w:vAlign w:val="top"/>
          </w:tcPr>
          <w:p>
            <w:r>
              <w:t>Contacts</w:t>
            </w:r>
          </w:p>
        </w:tc>
        <w:tc>
          <w:tcPr>
            <w:tcW w:type="dxa" w:w="2520"/>
            <w:vAlign w:val="top"/>
          </w:tcPr>
          <w:p>
            <w:r>
              <w:t>Named contacts are public/sourceable or role-based; compliance notes included.</w:t>
            </w:r>
          </w:p>
        </w:tc>
        <w:tc>
          <w:tcPr>
            <w:tcW w:type="dxa" w:w="2520"/>
            <w:vAlign w:val="top"/>
          </w:tcPr>
          <w:p>
            <w:r/>
          </w:p>
        </w:tc>
        <w:tc>
          <w:tcPr>
            <w:tcW w:type="dxa" w:w="2520"/>
            <w:vAlign w:val="top"/>
          </w:tcPr>
          <w:p>
            <w:r/>
          </w:p>
        </w:tc>
      </w:tr>
      <w:tr>
        <w:tc>
          <w:tcPr>
            <w:tcW w:type="dxa" w:w="2520"/>
            <w:vAlign w:val="top"/>
          </w:tcPr>
          <w:p>
            <w:r>
              <w:t>Figures/tables</w:t>
            </w:r>
          </w:p>
        </w:tc>
        <w:tc>
          <w:tcPr>
            <w:tcW w:type="dxa" w:w="2520"/>
            <w:vAlign w:val="top"/>
          </w:tcPr>
          <w:p>
            <w:r>
              <w:t>Tables and figures are complete, useful and assumption-labelled.</w:t>
            </w:r>
          </w:p>
        </w:tc>
        <w:tc>
          <w:tcPr>
            <w:tcW w:type="dxa" w:w="2520"/>
            <w:vAlign w:val="top"/>
          </w:tcPr>
          <w:p>
            <w:r/>
          </w:p>
        </w:tc>
        <w:tc>
          <w:tcPr>
            <w:tcW w:type="dxa" w:w="2520"/>
            <w:vAlign w:val="top"/>
          </w:tcPr>
          <w:p>
            <w:r/>
          </w:p>
        </w:tc>
      </w:tr>
      <w:tr>
        <w:tc>
          <w:tcPr>
            <w:tcW w:type="dxa" w:w="2520"/>
            <w:vAlign w:val="top"/>
          </w:tcPr>
          <w:p>
            <w:r>
              <w:t>IP/legal</w:t>
            </w:r>
          </w:p>
        </w:tc>
        <w:tc>
          <w:tcPr>
            <w:tcW w:type="dxa" w:w="2520"/>
            <w:vAlign w:val="top"/>
          </w:tcPr>
          <w:p>
            <w:r>
              <w:t>Issues are flagged for review and not presented as legal advice.</w:t>
            </w:r>
          </w:p>
        </w:tc>
        <w:tc>
          <w:tcPr>
            <w:tcW w:type="dxa" w:w="2520"/>
            <w:vAlign w:val="top"/>
          </w:tcPr>
          <w:p>
            <w:r/>
          </w:p>
        </w:tc>
        <w:tc>
          <w:tcPr>
            <w:tcW w:type="dxa" w:w="2520"/>
            <w:vAlign w:val="top"/>
          </w:tcPr>
          <w:p>
            <w:r/>
          </w:p>
        </w:tc>
      </w:tr>
      <w:tr>
        <w:tc>
          <w:tcPr>
            <w:tcW w:type="dxa" w:w="2520"/>
            <w:vAlign w:val="top"/>
          </w:tcPr>
          <w:p>
            <w:r>
              <w:t>Software/data</w:t>
            </w:r>
          </w:p>
        </w:tc>
        <w:tc>
          <w:tcPr>
            <w:tcW w:type="dxa" w:w="2520"/>
            <w:vAlign w:val="top"/>
          </w:tcPr>
          <w:p>
            <w:r>
              <w:t>Open-source, datasets, AI-generated code and duplicability addressed where relevant.</w:t>
            </w:r>
          </w:p>
        </w:tc>
        <w:tc>
          <w:tcPr>
            <w:tcW w:type="dxa" w:w="2520"/>
            <w:vAlign w:val="top"/>
          </w:tcPr>
          <w:p>
            <w:r/>
          </w:p>
        </w:tc>
        <w:tc>
          <w:tcPr>
            <w:tcW w:type="dxa" w:w="2520"/>
            <w:vAlign w:val="top"/>
          </w:tcPr>
          <w:p>
            <w:r/>
          </w:p>
        </w:tc>
      </w:tr>
      <w:tr>
        <w:tc>
          <w:tcPr>
            <w:tcW w:type="dxa" w:w="2520"/>
            <w:vAlign w:val="top"/>
          </w:tcPr>
          <w:p>
            <w:r>
              <w:t>Physical product/process</w:t>
            </w:r>
          </w:p>
        </w:tc>
        <w:tc>
          <w:tcPr>
            <w:tcW w:type="dxa" w:w="2520"/>
            <w:vAlign w:val="top"/>
          </w:tcPr>
          <w:p>
            <w:r>
              <w:t>Manufacturing, validation, scale-up and regulation addressed where relevant.</w:t>
            </w:r>
          </w:p>
        </w:tc>
        <w:tc>
          <w:tcPr>
            <w:tcW w:type="dxa" w:w="2520"/>
            <w:vAlign w:val="top"/>
          </w:tcPr>
          <w:p>
            <w:r/>
          </w:p>
        </w:tc>
        <w:tc>
          <w:tcPr>
            <w:tcW w:type="dxa" w:w="2520"/>
            <w:vAlign w:val="top"/>
          </w:tcPr>
          <w:p>
            <w:r/>
          </w:p>
        </w:tc>
      </w:tr>
      <w:tr>
        <w:tc>
          <w:tcPr>
            <w:tcW w:type="dxa" w:w="2520"/>
            <w:vAlign w:val="top"/>
          </w:tcPr>
          <w:p>
            <w:r>
              <w:t>Outreach</w:t>
            </w:r>
          </w:p>
        </w:tc>
        <w:tc>
          <w:tcPr>
            <w:tcW w:type="dxa" w:w="2520"/>
            <w:vAlign w:val="top"/>
          </w:tcPr>
          <w:p>
            <w:r>
              <w:t>Drafts are non-confidential and include appropriate call-to-action.</w:t>
            </w:r>
          </w:p>
        </w:tc>
        <w:tc>
          <w:tcPr>
            <w:tcW w:type="dxa" w:w="2520"/>
            <w:vAlign w:val="top"/>
          </w:tcPr>
          <w:p>
            <w:r/>
          </w:p>
        </w:tc>
        <w:tc>
          <w:tcPr>
            <w:tcW w:type="dxa" w:w="2520"/>
            <w:vAlign w:val="top"/>
          </w:tcPr>
          <w:p>
            <w:r/>
          </w:p>
        </w:tc>
      </w:tr>
      <w:tr>
        <w:tc>
          <w:tcPr>
            <w:tcW w:type="dxa" w:w="2520"/>
            <w:vAlign w:val="top"/>
          </w:tcPr>
          <w:p>
            <w:r>
              <w:t>Next actions</w:t>
            </w:r>
          </w:p>
        </w:tc>
        <w:tc>
          <w:tcPr>
            <w:tcW w:type="dxa" w:w="2520"/>
            <w:vAlign w:val="top"/>
          </w:tcPr>
          <w:p>
            <w:r>
              <w:t>Actions are prioritised, practical and owner-ready.</w:t>
            </w:r>
          </w:p>
        </w:tc>
        <w:tc>
          <w:tcPr>
            <w:tcW w:type="dxa" w:w="2520"/>
            <w:vAlign w:val="top"/>
          </w:tcPr>
          <w:p>
            <w:r/>
          </w:p>
        </w:tc>
        <w:tc>
          <w:tcPr>
            <w:tcW w:type="dxa" w:w="2520"/>
            <w:vAlign w:val="top"/>
          </w:tcPr>
          <w:p>
            <w:r/>
          </w:p>
        </w:tc>
      </w:tr>
    </w:tbl>
    <w:p>
      <w:pPr>
        <w:pStyle w:val="Heading1"/>
      </w:pPr>
      <w:r>
        <w:t>3. Approval recommendation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When to use</w:t>
            </w:r>
          </w:p>
        </w:tc>
      </w:tr>
      <w:tr>
        <w:tc>
          <w:tcPr>
            <w:tcW w:type="dxa" w:w="5040"/>
            <w:vAlign w:val="top"/>
          </w:tcPr>
          <w:p>
            <w:r>
              <w:t>Approve for internal use</w:t>
            </w:r>
          </w:p>
        </w:tc>
        <w:tc>
          <w:tcPr>
            <w:tcW w:type="dxa" w:w="5040"/>
            <w:vAlign w:val="top"/>
          </w:tcPr>
          <w:p>
            <w:r>
              <w:t>Minor issues only; no confidentiality/source concerns.</w:t>
            </w:r>
          </w:p>
        </w:tc>
      </w:tr>
      <w:tr>
        <w:tc>
          <w:tcPr>
            <w:tcW w:type="dxa" w:w="5040"/>
            <w:vAlign w:val="top"/>
          </w:tcPr>
          <w:p>
            <w:r>
              <w:t>Approve with amendments</w:t>
            </w:r>
          </w:p>
        </w:tc>
        <w:tc>
          <w:tcPr>
            <w:tcW w:type="dxa" w:w="5040"/>
            <w:vAlign w:val="top"/>
          </w:tcPr>
          <w:p>
            <w:r>
              <w:t>Useful report but needs limited edits.</w:t>
            </w:r>
          </w:p>
        </w:tc>
      </w:tr>
      <w:tr>
        <w:tc>
          <w:tcPr>
            <w:tcW w:type="dxa" w:w="5040"/>
            <w:vAlign w:val="top"/>
          </w:tcPr>
          <w:p>
            <w:r>
              <w:t>Return for rework</w:t>
            </w:r>
          </w:p>
        </w:tc>
        <w:tc>
          <w:tcPr>
            <w:tcW w:type="dxa" w:w="5040"/>
            <w:vAlign w:val="top"/>
          </w:tcPr>
          <w:p>
            <w:r>
              <w:t>Material evidence, source, confidentiality or quality gaps.</w:t>
            </w:r>
          </w:p>
        </w:tc>
      </w:tr>
      <w:tr>
        <w:tc>
          <w:tcPr>
            <w:tcW w:type="dxa" w:w="5040"/>
            <w:vAlign w:val="top"/>
          </w:tcPr>
          <w:p>
            <w:r>
              <w:t>Escalate</w:t>
            </w:r>
          </w:p>
        </w:tc>
        <w:tc>
          <w:tcPr>
            <w:tcW w:type="dxa" w:w="5040"/>
            <w:vAlign w:val="top"/>
          </w:tcPr>
          <w:p>
            <w:r>
              <w:t>Potential urgent IP, legal, publication, data protection or reputational risk.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69612D6940EA4FA5C864713CC79B42" ma:contentTypeVersion="29" ma:contentTypeDescription="Create a new document." ma:contentTypeScope="" ma:versionID="ca362d17f7f6d2a4a319ec8027bb9ae4">
  <xsd:schema xmlns:xsd="http://www.w3.org/2001/XMLSchema" xmlns:xs="http://www.w3.org/2001/XMLSchema" xmlns:p="http://schemas.microsoft.com/office/2006/metadata/properties" xmlns:ns2="86babe94-8a02-46bc-a9b7-a676cc214797" xmlns:ns3="674cd553-a806-4508-beda-90fdf9affe65" targetNamespace="http://schemas.microsoft.com/office/2006/metadata/properties" ma:root="true" ma:fieldsID="2f03b6c9af8e12bdf5fe815a6e181891" ns2:_="" ns3:_="">
    <xsd:import namespace="86babe94-8a02-46bc-a9b7-a676cc214797"/>
    <xsd:import namespace="674cd553-a806-4508-beda-90fdf9affe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Tags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TechID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3:Name1" minOccurs="0"/>
                <xsd:element ref="ns3:School" minOccurs="0"/>
                <xsd:element ref="ns3:Faculty" minOccurs="0"/>
                <xsd:element ref="ns2:MediaServiceBillingMetadata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babe94-8a02-46bc-a9b7-a676cc2147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internalName="MediaServiceLocatio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TechID" ma:index="20" nillable="true" ma:displayName="Tech ID" ma:description="free text" ma:format="RadioButtons" ma:internalName="TechID">
      <xsd:simpleType>
        <xsd:union memberTypes="dms:Text">
          <xsd:simpleType>
            <xsd:restriction base="dms:Choice">
              <xsd:enumeration value="Free"/>
              <xsd:enumeration value="text"/>
            </xsd:restriction>
          </xsd:simpleType>
        </xsd:un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76624216-d583-4636-a04d-17921d6eaf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  <xsd:element name="_Flow_SignoffStatus" ma:index="31" nillable="true" ma:displayName="Sign-off status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4cd553-a806-4508-beda-90fdf9affe65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ca32af48-fd1c-4046-8aa4-8b498b828087}" ma:internalName="TaxCatchAll" ma:showField="CatchAllData" ma:web="674cd553-a806-4508-beda-90fdf9affe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me1" ma:index="27" nillable="true" ma:displayName="Name" ma:internalName="Name1">
      <xsd:simpleType>
        <xsd:restriction base="dms:Text"/>
      </xsd:simpleType>
    </xsd:element>
    <xsd:element name="School" ma:index="28" nillable="true" ma:displayName="School" ma:internalName="School">
      <xsd:simpleType>
        <xsd:restriction base="dms:Text"/>
      </xsd:simpleType>
    </xsd:element>
    <xsd:element name="Faculty" ma:index="29" nillable="true" ma:displayName="Faculty" ma:internalName="Facult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6babe94-8a02-46bc-a9b7-a676cc214797">
      <Terms xmlns="http://schemas.microsoft.com/office/infopath/2007/PartnerControls"/>
    </lcf76f155ced4ddcb4097134ff3c332f>
    <School xmlns="674cd553-a806-4508-beda-90fdf9affe65" xsi:nil="true"/>
    <TechID xmlns="86babe94-8a02-46bc-a9b7-a676cc214797" xsi:nil="true"/>
    <TaxCatchAll xmlns="674cd553-a806-4508-beda-90fdf9affe65" xsi:nil="true"/>
    <_Flow_SignoffStatus xmlns="86babe94-8a02-46bc-a9b7-a676cc214797" xsi:nil="true"/>
    <Name1 xmlns="674cd553-a806-4508-beda-90fdf9affe65" xsi:nil="true"/>
    <Faculty xmlns="674cd553-a806-4508-beda-90fdf9affe65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5224CF2-D31C-48DE-8BB0-CC077A0C4537}"/>
</file>

<file path=customXml/itemProps3.xml><?xml version="1.0" encoding="utf-8"?>
<ds:datastoreItem xmlns:ds="http://schemas.openxmlformats.org/officeDocument/2006/customXml" ds:itemID="{B0C7DF5B-D748-4D50-A6FD-7487C71ADD22}"/>
</file>

<file path=customXml/itemProps4.xml><?xml version="1.0" encoding="utf-8"?>
<ds:datastoreItem xmlns:ds="http://schemas.openxmlformats.org/officeDocument/2006/customXml" ds:itemID="{B0A97E12-ABAB-43B0-B967-20581AD787D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0x0101006D69612D6940EA4FA5C864713CC79B42</vt:lpwstr>
  </property>
</Properties>
</file>