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Source Reliability Rubric</w:t>
      </w:r>
    </w:p>
    <w:p>
      <w:pPr>
        <w:jc w:val="center"/>
      </w:pPr>
      <w:r>
        <w:rPr>
          <w:sz w:val="24"/>
        </w:rPr>
        <w:t>Quality-control document for external research</w:t>
      </w:r>
    </w:p>
    <w:p>
      <w:pPr>
        <w:jc w:val="center"/>
      </w:pPr>
      <w:r>
        <w:t>Version 0.1 | 05/06/2026 | For internal pilot use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rubric helps the agent and reviewers assess the reliability of sources used in market, patent, publication, company, contact and funding research.</w:t>
      </w:r>
    </w:p>
    <w:p>
      <w:pPr>
        <w:pStyle w:val="Heading1"/>
      </w:pPr>
      <w:r>
        <w:t>2. Confidence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Source types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Use in report</w:t>
            </w:r>
          </w:p>
        </w:tc>
      </w:tr>
      <w:tr>
        <w:tc>
          <w:tcPr>
            <w:tcW w:type="dxa" w:w="3360"/>
            <w:vAlign w:val="top"/>
          </w:tcPr>
          <w:p>
            <w:r>
              <w:t>High</w:t>
            </w:r>
          </w:p>
        </w:tc>
        <w:tc>
          <w:tcPr>
            <w:tcW w:type="dxa" w:w="3360"/>
            <w:vAlign w:val="top"/>
          </w:tcPr>
          <w:p>
            <w:r>
              <w:t>Primary company websites; patent database records; peer-reviewed publications; government, regulator, funder or standards-body pages; official annual reports.</w:t>
            </w:r>
          </w:p>
        </w:tc>
        <w:tc>
          <w:tcPr>
            <w:tcW w:type="dxa" w:w="3360"/>
            <w:vAlign w:val="top"/>
          </w:tcPr>
          <w:p>
            <w:r>
              <w:t>Use as evidence for factual claims. Cite directly.</w:t>
            </w:r>
          </w:p>
        </w:tc>
      </w:tr>
      <w:tr>
        <w:tc>
          <w:tcPr>
            <w:tcW w:type="dxa" w:w="3360"/>
            <w:vAlign w:val="top"/>
          </w:tcPr>
          <w:p>
            <w:r>
              <w:t>Medium</w:t>
            </w:r>
          </w:p>
        </w:tc>
        <w:tc>
          <w:tcPr>
            <w:tcW w:type="dxa" w:w="3360"/>
            <w:vAlign w:val="top"/>
          </w:tcPr>
          <w:p>
            <w:r>
              <w:t>University news pages; reputable trade press; industry associations; credible market commentary; official event pages; investor presentations.</w:t>
            </w:r>
          </w:p>
        </w:tc>
        <w:tc>
          <w:tcPr>
            <w:tcW w:type="dxa" w:w="3360"/>
            <w:vAlign w:val="top"/>
          </w:tcPr>
          <w:p>
            <w:r>
              <w:t>Use with caution. Prefer corroboration.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Low</w:t>
            </w:r>
          </w:p>
        </w:tc>
        <w:tc>
          <w:tcPr>
            <w:tcW w:type="dxa" w:w="3360"/>
            <w:vAlign w:val="top"/>
          </w:tcPr>
          <w:p>
            <w:r>
              <w:t>Unsourced blogs; vendor marketing without evidence; old or undated pages; unclear authorship; AI-generated summaries; forum posts.</w:t>
            </w:r>
          </w:p>
        </w:tc>
        <w:tc>
          <w:tcPr>
            <w:tcW w:type="dxa" w:w="3360"/>
            <w:vAlign w:val="top"/>
          </w:tcPr>
          <w:p>
            <w:r>
              <w:t>Use only as weak signal or exclude. Mark as low confidence.</w:t>
            </w:r>
          </w:p>
        </w:tc>
      </w:tr>
    </w:tbl>
    <w:p>
      <w:pPr>
        <w:pStyle w:val="Heading1"/>
      </w:pPr>
      <w:r>
        <w:t>3. Minimum evidence standards</w:t>
      </w:r>
    </w:p>
    <w:p>
      <w:pPr>
        <w:pStyle w:val="ListBullet"/>
      </w:pPr>
      <w:r>
        <w:t>Every market size, trend, company activity, product claim, patent, publication or contact recommendation should have a source.</w:t>
      </w:r>
    </w:p>
    <w:p>
      <w:pPr>
        <w:pStyle w:val="ListBullet"/>
      </w:pPr>
      <w:r>
        <w:t>Prefer primary sources over secondary commentary.</w:t>
      </w:r>
    </w:p>
    <w:p>
      <w:pPr>
        <w:pStyle w:val="ListBullet"/>
      </w:pPr>
      <w:r>
        <w:t>For important claims, seek at least two independent sources where possible.</w:t>
      </w:r>
    </w:p>
    <w:p>
      <w:pPr>
        <w:pStyle w:val="ListBullet"/>
      </w:pPr>
      <w:r>
        <w:t>Do not use unsupported market-size figures as facts.</w:t>
      </w:r>
    </w:p>
    <w:p>
      <w:pPr>
        <w:pStyle w:val="ListBullet"/>
      </w:pPr>
      <w:r>
        <w:t>If evidence is weak, mark the claim as an assumption or recommended follow-up.</w:t>
      </w:r>
    </w:p>
    <w:p>
      <w:pPr>
        <w:pStyle w:val="Heading1"/>
      </w:pPr>
      <w:r>
        <w:t>4. Reference capture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Required content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 title</w:t>
            </w:r>
          </w:p>
        </w:tc>
        <w:tc>
          <w:tcPr>
            <w:tcW w:type="dxa" w:w="5040"/>
            <w:vAlign w:val="top"/>
          </w:tcPr>
          <w:p>
            <w:r>
              <w:t>Title of page, report, patent, publication or document.</w:t>
            </w:r>
          </w:p>
        </w:tc>
      </w:tr>
      <w:tr>
        <w:tc>
          <w:tcPr>
            <w:tcW w:type="dxa" w:w="5040"/>
            <w:vAlign w:val="top"/>
          </w:tcPr>
          <w:p>
            <w:r>
              <w:t>Publisher/organisation</w:t>
            </w:r>
          </w:p>
        </w:tc>
        <w:tc>
          <w:tcPr>
            <w:tcW w:type="dxa" w:w="5040"/>
            <w:vAlign w:val="top"/>
          </w:tcPr>
          <w:p>
            <w:r>
              <w:t>Company, patent office, journal, university, funder or website owner.</w:t>
            </w:r>
          </w:p>
        </w:tc>
      </w:tr>
      <w:tr>
        <w:tc>
          <w:tcPr>
            <w:tcW w:type="dxa" w:w="5040"/>
            <w:vAlign w:val="top"/>
          </w:tcPr>
          <w:p>
            <w:r>
              <w:t>URL</w:t>
            </w:r>
          </w:p>
        </w:tc>
        <w:tc>
          <w:tcPr>
            <w:tcW w:type="dxa" w:w="5040"/>
            <w:vAlign w:val="top"/>
          </w:tcPr>
          <w:p>
            <w:r>
              <w:t>Direct URL where available.</w:t>
            </w:r>
          </w:p>
        </w:tc>
      </w:tr>
      <w:tr>
        <w:tc>
          <w:tcPr>
            <w:tcW w:type="dxa" w:w="5040"/>
            <w:vAlign w:val="top"/>
          </w:tcPr>
          <w:p>
            <w:r>
              <w:t>Date</w:t>
            </w:r>
          </w:p>
        </w:tc>
        <w:tc>
          <w:tcPr>
            <w:tcW w:type="dxa" w:w="5040"/>
            <w:vAlign w:val="top"/>
          </w:tcPr>
          <w:p>
            <w:r>
              <w:t>Publication date if available; otherwise date accessed.</w:t>
            </w:r>
          </w:p>
        </w:tc>
      </w:tr>
      <w:tr>
        <w:tc>
          <w:tcPr>
            <w:tcW w:type="dxa" w:w="5040"/>
            <w:vAlign w:val="top"/>
          </w:tcPr>
          <w:p>
            <w:r>
              <w:t>Relevance</w:t>
            </w:r>
          </w:p>
        </w:tc>
        <w:tc>
          <w:tcPr>
            <w:tcW w:type="dxa" w:w="5040"/>
            <w:vAlign w:val="top"/>
          </w:tcPr>
          <w:p>
            <w:r>
              <w:t>One sentence explaining why the source matters.</w:t>
            </w:r>
          </w:p>
        </w:tc>
      </w:tr>
      <w:tr>
        <w:tc>
          <w:tcPr>
            <w:tcW w:type="dxa" w:w="5040"/>
            <w:vAlign w:val="top"/>
          </w:tcPr>
          <w:p>
            <w:r>
              <w:t>Confidence</w:t>
            </w:r>
          </w:p>
        </w:tc>
        <w:tc>
          <w:tcPr>
            <w:tcW w:type="dxa" w:w="5040"/>
            <w:vAlign w:val="top"/>
          </w:tcPr>
          <w:p>
            <w:r>
              <w:t>High, medium or low.</w:t>
            </w:r>
          </w:p>
        </w:tc>
      </w:tr>
    </w:tbl>
    <w:p>
      <w:pPr>
        <w:pStyle w:val="Heading1"/>
      </w:pPr>
      <w:r>
        <w:t>5. Red flags</w:t>
      </w:r>
    </w:p>
    <w:p>
      <w:pPr>
        <w:pStyle w:val="ListBullet"/>
      </w:pPr>
      <w:r>
        <w:t>No author, no date and no publisher information.</w:t>
      </w:r>
    </w:p>
    <w:p>
      <w:pPr>
        <w:pStyle w:val="ListBullet"/>
      </w:pPr>
      <w:r>
        <w:t>Claims copied across multiple websites without a primary source.</w:t>
      </w:r>
    </w:p>
    <w:p>
      <w:pPr>
        <w:pStyle w:val="ListBullet"/>
      </w:pPr>
      <w:r>
        <w:t>Numbers that appear precise but lack methodology.</w:t>
      </w:r>
    </w:p>
    <w:p>
      <w:pPr>
        <w:pStyle w:val="ListBullet"/>
      </w:pPr>
      <w:r>
        <w:t>Companies claiming “world first” or “unique” without patent/publication/product evidence.</w:t>
      </w:r>
    </w:p>
    <w:p>
      <w:pPr>
        <w:pStyle w:val="ListBullet"/>
      </w:pPr>
      <w:r>
        <w:t>Outdated sources in fast-moving markets.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596CAE-90FE-46E7-BF71-84B5790BDABE}"/>
</file>

<file path=customXml/itemProps3.xml><?xml version="1.0" encoding="utf-8"?>
<ds:datastoreItem xmlns:ds="http://schemas.openxmlformats.org/officeDocument/2006/customXml" ds:itemID="{23FDED62-F565-4F00-AA2F-B15753ADFA37}"/>
</file>

<file path=customXml/itemProps4.xml><?xml version="1.0" encoding="utf-8"?>
<ds:datastoreItem xmlns:ds="http://schemas.openxmlformats.org/officeDocument/2006/customXml" ds:itemID="{BF81FFDA-6BF5-4870-B321-50FB45E678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</Properties>
</file>