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96" w:rsidRPr="00305796" w:rsidRDefault="00305796" w:rsidP="00305796">
      <w:pPr>
        <w:rPr>
          <w:rFonts w:ascii="Arial" w:hAnsi="Arial" w:cs="Arial"/>
          <w:b/>
        </w:rPr>
      </w:pPr>
      <w:r w:rsidRPr="00305796">
        <w:rPr>
          <w:rFonts w:ascii="Arial" w:hAnsi="Arial" w:cs="Arial"/>
          <w:b/>
        </w:rPr>
        <w:t>Data</w:t>
      </w:r>
    </w:p>
    <w:p w:rsidR="00305796" w:rsidRDefault="00305796" w:rsidP="00305796">
      <w:pPr>
        <w:rPr>
          <w:rFonts w:ascii="Arial" w:hAnsi="Arial" w:cs="Arial"/>
        </w:rPr>
      </w:pPr>
      <w:r w:rsidRPr="00081E64">
        <w:rPr>
          <w:rFonts w:ascii="Arial" w:hAnsi="Arial" w:cs="Arial"/>
        </w:rPr>
        <w:t>Total Direct Tonnage - Imports (Tonne) monthly</w:t>
      </w:r>
      <w:r>
        <w:rPr>
          <w:rFonts w:ascii="Arial" w:hAnsi="Arial" w:cs="Arial"/>
        </w:rPr>
        <w:t xml:space="preserve"> (D.Import)</w:t>
      </w:r>
      <w:r w:rsidRPr="00081E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and </w:t>
      </w:r>
      <w:r w:rsidRPr="00081E64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Total Direct Tonnage - Exports</w:t>
      </w:r>
      <w:r w:rsidRPr="00081E64">
        <w:rPr>
          <w:rFonts w:ascii="Arial" w:hAnsi="Arial" w:cs="Arial"/>
        </w:rPr>
        <w:t xml:space="preserve"> (Tonne) monthly</w:t>
      </w:r>
      <w:r>
        <w:rPr>
          <w:rFonts w:ascii="Arial" w:hAnsi="Arial" w:cs="Arial"/>
        </w:rPr>
        <w:t xml:space="preserve"> (D.Exports)</w:t>
      </w:r>
      <w:r w:rsidRPr="00081E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for  </w:t>
      </w:r>
      <w:r w:rsidRPr="00081E64">
        <w:rPr>
          <w:rFonts w:ascii="Arial" w:hAnsi="Arial" w:cs="Arial"/>
          <w:color w:val="FF0000"/>
        </w:rPr>
        <w:t>year (2000-01 to 2021-11)</w:t>
      </w:r>
      <w:r w:rsidRPr="00081E64">
        <w:rPr>
          <w:rFonts w:ascii="Arial" w:hAnsi="Arial" w:cs="Arial"/>
        </w:rPr>
        <w:t xml:space="preserve"> were collected from the </w:t>
      </w:r>
      <w:hyperlink r:id="rId4" w:history="1">
        <w:r w:rsidRPr="005620FA">
          <w:rPr>
            <w:rStyle w:val="Hyperlink"/>
            <w:rFonts w:ascii="Arial" w:hAnsi="Arial" w:cs="Arial"/>
          </w:rPr>
          <w:t>info@singstat.gov.sg</w:t>
        </w:r>
      </w:hyperlink>
      <w:r>
        <w:rPr>
          <w:rFonts w:ascii="Arial" w:hAnsi="Arial" w:cs="Arial"/>
        </w:rPr>
        <w:t xml:space="preserve"> [1, 2]</w:t>
      </w:r>
      <w:r w:rsidRPr="00081E64">
        <w:rPr>
          <w:rFonts w:ascii="Arial" w:hAnsi="Arial" w:cs="Arial"/>
        </w:rPr>
        <w:t xml:space="preserve">. The first 15-year data (2000-2014) were used for model construction </w:t>
      </w:r>
      <w:r>
        <w:rPr>
          <w:rFonts w:ascii="Arial" w:hAnsi="Arial" w:cs="Arial"/>
        </w:rPr>
        <w:t xml:space="preserve">and model fitting (Training </w:t>
      </w:r>
      <w:r w:rsidRPr="00081E64">
        <w:rPr>
          <w:rFonts w:ascii="Arial" w:hAnsi="Arial" w:cs="Arial"/>
        </w:rPr>
        <w:t xml:space="preserve">set) and the remaining seven-year  (2015-2021) were used to </w:t>
      </w:r>
      <w:r>
        <w:rPr>
          <w:rFonts w:ascii="Arial" w:hAnsi="Arial" w:cs="Arial"/>
        </w:rPr>
        <w:t xml:space="preserve">forecasting and validating the model (Testing </w:t>
      </w:r>
      <w:r w:rsidRPr="00081E64">
        <w:rPr>
          <w:rFonts w:ascii="Arial" w:hAnsi="Arial" w:cs="Arial"/>
        </w:rPr>
        <w:t xml:space="preserve">set). </w:t>
      </w:r>
    </w:p>
    <w:p w:rsidR="00305796" w:rsidRDefault="00305796" w:rsidP="00305796">
      <w:pPr>
        <w:rPr>
          <w:rFonts w:ascii="Arial" w:hAnsi="Arial" w:cs="Arial"/>
        </w:rPr>
      </w:pPr>
      <w:r>
        <w:rPr>
          <w:rFonts w:ascii="Arial" w:hAnsi="Arial" w:cs="Arial"/>
        </w:rPr>
        <w:t>Figure 1 shows the Trend of D.Import and D.Export in combine axes</w:t>
      </w:r>
      <w:r>
        <w:rPr>
          <w:rFonts w:ascii="Arial" w:hAnsi="Arial" w:cs="Arial"/>
        </w:rPr>
        <w:t>(</w:t>
      </w:r>
      <w:r w:rsidRPr="00305796">
        <w:rPr>
          <w:rFonts w:ascii="Arial" w:hAnsi="Arial" w:cs="Arial"/>
          <w:color w:val="FF0000"/>
        </w:rPr>
        <w:t>visualizing</w:t>
      </w:r>
      <w:r>
        <w:rPr>
          <w:rFonts w:ascii="Arial" w:hAnsi="Arial" w:cs="Arial"/>
        </w:rPr>
        <w:t>)</w:t>
      </w:r>
    </w:p>
    <w:p w:rsidR="00305796" w:rsidRDefault="00305796" w:rsidP="00305796">
      <w:pPr>
        <w:rPr>
          <w:rFonts w:ascii="Arial" w:hAnsi="Arial" w:cs="Arial"/>
        </w:rPr>
      </w:pPr>
      <w:r w:rsidRPr="00996EB2">
        <w:rPr>
          <w:rFonts w:ascii="Arial" w:hAnsi="Arial" w:cs="Arial"/>
        </w:rPr>
        <w:drawing>
          <wp:inline distT="0" distB="0" distL="0" distR="0" wp14:anchorId="219772C7" wp14:editId="4A1B0BF1">
            <wp:extent cx="3865621" cy="2028825"/>
            <wp:effectExtent l="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32" cy="20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96" w:rsidRDefault="00305796" w:rsidP="00305796">
      <w:pPr>
        <w:rPr>
          <w:rFonts w:ascii="Arial" w:hAnsi="Arial" w:cs="Arial"/>
        </w:rPr>
      </w:pPr>
      <w:r w:rsidRPr="00116E8E">
        <w:rPr>
          <w:rFonts w:ascii="Arial" w:hAnsi="Arial" w:cs="Arial"/>
        </w:rPr>
        <w:drawing>
          <wp:inline distT="0" distB="0" distL="0" distR="0" wp14:anchorId="0AA5F99E" wp14:editId="1C65C671">
            <wp:extent cx="3035935" cy="147457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49" cy="14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96" w:rsidRPr="00116E8E" w:rsidRDefault="00305796" w:rsidP="00305796">
      <w:pPr>
        <w:shd w:val="clear" w:color="auto" w:fill="F3F3F5"/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color w:val="FF0000"/>
        </w:rPr>
      </w:pPr>
      <w:r w:rsidRPr="00116E8E">
        <w:rPr>
          <w:rFonts w:ascii="Arial" w:eastAsia="Times New Roman" w:hAnsi="Arial" w:cs="Arial"/>
          <w:b/>
          <w:bCs/>
          <w:color w:val="FF0000"/>
        </w:rPr>
        <w:t>Decompose the Data</w:t>
      </w:r>
      <w:r>
        <w:rPr>
          <w:rFonts w:ascii="Arial" w:eastAsia="Times New Roman" w:hAnsi="Arial" w:cs="Arial"/>
          <w:b/>
          <w:bCs/>
          <w:color w:val="FF0000"/>
        </w:rPr>
        <w:t xml:space="preserve"> (D.Import &amp; D.Export)</w:t>
      </w:r>
    </w:p>
    <w:p w:rsidR="00305796" w:rsidRDefault="00305796" w:rsidP="00305796">
      <w:pPr>
        <w:shd w:val="clear" w:color="auto" w:fill="F3F3F5"/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color w:val="FF0000"/>
        </w:rPr>
      </w:pPr>
      <w:r w:rsidRPr="00116E8E">
        <w:rPr>
          <w:rFonts w:ascii="Arial" w:eastAsia="Times New Roman" w:hAnsi="Arial" w:cs="Arial"/>
          <w:noProof/>
          <w:color w:val="FF0000"/>
        </w:rPr>
        <w:drawing>
          <wp:inline distT="0" distB="0" distL="0" distR="0" wp14:anchorId="1378DF35" wp14:editId="1F17BC90">
            <wp:extent cx="3357579" cy="1704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43" cy="17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6C" w:rsidRDefault="00305796">
      <w:r>
        <w:t>ACF and PACF test</w:t>
      </w:r>
    </w:p>
    <w:p w:rsidR="00305796" w:rsidRDefault="00305796"/>
    <w:p w:rsidR="00305796" w:rsidRDefault="00305796"/>
    <w:p w:rsidR="00305796" w:rsidRDefault="00305796"/>
    <w:p w:rsidR="00305796" w:rsidRDefault="00305796" w:rsidP="00305796">
      <w:pPr>
        <w:rPr>
          <w:color w:val="FF0000"/>
        </w:rPr>
      </w:pPr>
      <w:r w:rsidRPr="00996EB2">
        <w:rPr>
          <w:rFonts w:ascii="Arial" w:hAnsi="Arial" w:cs="Arial"/>
          <w:color w:val="FF0000"/>
        </w:rPr>
        <w:lastRenderedPageBreak/>
        <w:t xml:space="preserve">Figure </w:t>
      </w:r>
      <w:r>
        <w:rPr>
          <w:rFonts w:ascii="Arial" w:hAnsi="Arial" w:cs="Arial"/>
          <w:color w:val="FF0000"/>
        </w:rPr>
        <w:t>2</w:t>
      </w:r>
      <w:r w:rsidRPr="00996EB2">
        <w:rPr>
          <w:rFonts w:ascii="Arial" w:hAnsi="Arial" w:cs="Arial"/>
          <w:color w:val="FF0000"/>
        </w:rPr>
        <w:t xml:space="preserve"> Singapore’s D.</w:t>
      </w:r>
      <w:r w:rsidRPr="00996EB2">
        <w:rPr>
          <w:color w:val="FF0000"/>
        </w:rPr>
        <w:t>Exports &amp; Imports from FY2000-01 to 2012-12 – Non-Stationary and Stationary series</w:t>
      </w:r>
    </w:p>
    <w:p w:rsidR="00305796" w:rsidRPr="00996EB2" w:rsidRDefault="00305796" w:rsidP="00305796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</w:rPr>
        <w:drawing>
          <wp:inline distT="0" distB="0" distL="0" distR="0" wp14:anchorId="50327F8D" wp14:editId="3C54319E">
            <wp:extent cx="572452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96" w:rsidRDefault="00305796">
      <w:r>
        <w:rPr>
          <w:rFonts w:ascii="Arial" w:hAnsi="Arial" w:cs="Arial"/>
          <w:noProof/>
        </w:rPr>
        <w:drawing>
          <wp:inline distT="0" distB="0" distL="0" distR="0" wp14:anchorId="1F4C16D6" wp14:editId="4514DD25">
            <wp:extent cx="561975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96" w:rsidRPr="00305796" w:rsidRDefault="00305796">
      <w:pPr>
        <w:rPr>
          <w:b/>
          <w:color w:val="FF0000"/>
        </w:rPr>
      </w:pPr>
      <w:r w:rsidRPr="00305796">
        <w:rPr>
          <w:b/>
          <w:color w:val="FF0000"/>
        </w:rPr>
        <w:t>Find the most suitable ARIMA</w:t>
      </w:r>
    </w:p>
    <w:p w:rsidR="00305796" w:rsidRPr="00634440" w:rsidRDefault="00305796" w:rsidP="00305796">
      <w:pPr>
        <w:shd w:val="clear" w:color="auto" w:fill="F3F3F5"/>
        <w:spacing w:before="100" w:beforeAutospacing="1" w:after="100" w:afterAutospacing="1" w:line="240" w:lineRule="auto"/>
        <w:ind w:left="720"/>
        <w:rPr>
          <w:b/>
          <w:color w:val="2E74B5" w:themeColor="accent1" w:themeShade="BF"/>
        </w:rPr>
      </w:pPr>
      <w:r>
        <w:t>Table 3 AIC results for different ARIMA model variables</w:t>
      </w:r>
    </w:p>
    <w:p w:rsidR="00305796" w:rsidRDefault="00305796" w:rsidP="00305796">
      <w:pPr>
        <w:shd w:val="clear" w:color="auto" w:fill="F3F3F5"/>
        <w:spacing w:after="0" w:line="240" w:lineRule="auto"/>
        <w:ind w:left="720"/>
      </w:pPr>
      <w:r>
        <w:t>Model               AIC</w:t>
      </w:r>
    </w:p>
    <w:p w:rsidR="00305796" w:rsidRDefault="00305796" w:rsidP="00305796">
      <w:pPr>
        <w:shd w:val="clear" w:color="auto" w:fill="F3F3F5"/>
        <w:spacing w:after="0" w:line="240" w:lineRule="auto"/>
        <w:ind w:left="720"/>
      </w:pPr>
      <w:r>
        <w:t>ARIMA(0,1,1)   2.556,191</w:t>
      </w:r>
    </w:p>
    <w:p w:rsidR="00305796" w:rsidRDefault="00305796" w:rsidP="00305796">
      <w:pPr>
        <w:shd w:val="clear" w:color="auto" w:fill="F3F3F5"/>
        <w:spacing w:after="0" w:line="240" w:lineRule="auto"/>
        <w:ind w:left="720"/>
      </w:pPr>
      <w:r>
        <w:t>ARIMA(1,1,0)   2.556,513</w:t>
      </w:r>
    </w:p>
    <w:p w:rsidR="00305796" w:rsidRDefault="00305796" w:rsidP="00305796">
      <w:pPr>
        <w:shd w:val="clear" w:color="auto" w:fill="F3F3F5"/>
        <w:spacing w:after="0" w:line="240" w:lineRule="auto"/>
        <w:ind w:left="720"/>
      </w:pPr>
      <w:r>
        <w:t>ARIMA(2,1,2)   2.554,655</w:t>
      </w:r>
    </w:p>
    <w:p w:rsidR="00305796" w:rsidRPr="00B25321" w:rsidRDefault="00305796" w:rsidP="00305796">
      <w:pPr>
        <w:shd w:val="clear" w:color="auto" w:fill="F3F3F5"/>
        <w:spacing w:after="0" w:line="240" w:lineRule="auto"/>
        <w:ind w:left="720"/>
        <w:rPr>
          <w:color w:val="FF0000"/>
        </w:rPr>
      </w:pPr>
      <w:r w:rsidRPr="00B25321">
        <w:rPr>
          <w:color w:val="FF0000"/>
        </w:rPr>
        <w:t>ARIMA(3,1,2)   2.552,124</w:t>
      </w:r>
    </w:p>
    <w:p w:rsidR="00305796" w:rsidRDefault="00305796"/>
    <w:p w:rsidR="00305796" w:rsidRDefault="00305796"/>
    <w:p w:rsidR="00305796" w:rsidRDefault="00305796"/>
    <w:p w:rsidR="00305796" w:rsidRDefault="00305796"/>
    <w:p w:rsidR="00305796" w:rsidRDefault="00305796"/>
    <w:p w:rsidR="00305796" w:rsidRDefault="00305796">
      <w:r>
        <w:lastRenderedPageBreak/>
        <w:t>Predicting result of the selected ARIMA Model</w:t>
      </w:r>
    </w:p>
    <w:p w:rsidR="00305796" w:rsidRDefault="00305796">
      <w:r>
        <w:rPr>
          <w:noProof/>
        </w:rPr>
        <w:drawing>
          <wp:inline distT="0" distB="0" distL="0" distR="0" wp14:anchorId="79A54395" wp14:editId="541EB0E0">
            <wp:extent cx="47244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96" w:rsidRDefault="00305796" w:rsidP="00305796">
      <w:pPr>
        <w:shd w:val="clear" w:color="auto" w:fill="F3F3F5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F3E46"/>
        </w:rPr>
      </w:pPr>
      <w:r>
        <w:rPr>
          <w:rFonts w:ascii="Arial" w:eastAsia="Times New Roman" w:hAnsi="Arial" w:cs="Arial"/>
          <w:color w:val="3F3E46"/>
        </w:rPr>
        <w:t>Forecasting Performance of D. Import and D. Export usng ARIMA(p,d,q)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1387"/>
        <w:gridCol w:w="1387"/>
        <w:gridCol w:w="1388"/>
      </w:tblGrid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Evaluation</w:t>
            </w:r>
          </w:p>
        </w:tc>
        <w:tc>
          <w:tcPr>
            <w:tcW w:w="1387" w:type="dxa"/>
          </w:tcPr>
          <w:p w:rsidR="00305796" w:rsidRDefault="00305796" w:rsidP="00310999">
            <w:pPr>
              <w:pStyle w:val="NormalWeb"/>
              <w:spacing w:before="0" w:beforeAutospacing="0" w:after="16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DengXian" w:hAnsi="Arial"/>
                <w:color w:val="3F3E46"/>
                <w:kern w:val="24"/>
                <w:sz w:val="22"/>
                <w:szCs w:val="22"/>
              </w:rPr>
              <w:t>D.Import</w:t>
            </w:r>
          </w:p>
        </w:tc>
        <w:tc>
          <w:tcPr>
            <w:tcW w:w="1387" w:type="dxa"/>
          </w:tcPr>
          <w:p w:rsidR="00305796" w:rsidRDefault="00305796" w:rsidP="00310999">
            <w:pPr>
              <w:pStyle w:val="NormalWeb"/>
              <w:spacing w:before="0" w:beforeAutospacing="0" w:after="16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/>
                <w:color w:val="3F3E46"/>
                <w:kern w:val="24"/>
                <w:sz w:val="22"/>
                <w:szCs w:val="22"/>
              </w:rPr>
              <w:t>D.Export</w:t>
            </w:r>
          </w:p>
        </w:tc>
        <w:tc>
          <w:tcPr>
            <w:tcW w:w="1388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Average</w:t>
            </w:r>
          </w:p>
        </w:tc>
      </w:tr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MAE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8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RMSE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8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MAPE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8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  <w:tr w:rsidR="00305796" w:rsidTr="00310999">
        <w:tc>
          <w:tcPr>
            <w:tcW w:w="1510" w:type="dxa"/>
          </w:tcPr>
          <w:p w:rsidR="00305796" w:rsidRPr="00B25321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  <w:vertAlign w:val="superscript"/>
              </w:rPr>
            </w:pPr>
            <w:r>
              <w:rPr>
                <w:rFonts w:ascii="Arial" w:eastAsia="Times New Roman" w:hAnsi="Arial" w:cs="Arial"/>
                <w:color w:val="3F3E46"/>
              </w:rPr>
              <w:t>R</w:t>
            </w:r>
            <w:r>
              <w:rPr>
                <w:rFonts w:ascii="Arial" w:eastAsia="Times New Roman" w:hAnsi="Arial" w:cs="Arial"/>
                <w:color w:val="3F3E46"/>
                <w:vertAlign w:val="superscript"/>
              </w:rPr>
              <w:t>2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8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</w:tbl>
    <w:p w:rsidR="00305796" w:rsidRDefault="00305796" w:rsidP="00305796">
      <w:pPr>
        <w:shd w:val="clear" w:color="auto" w:fill="F3F3F5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F3E46"/>
        </w:rPr>
      </w:pPr>
      <w:r>
        <w:rPr>
          <w:rFonts w:ascii="Arial" w:eastAsia="Times New Roman" w:hAnsi="Arial" w:cs="Arial"/>
          <w:color w:val="3F3E46"/>
        </w:rPr>
        <w:t>Forecasting Performance of D. Import and D. Export  using SARIMAX(p,d,q)(P,D,Q)5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1387"/>
        <w:gridCol w:w="1387"/>
        <w:gridCol w:w="1387"/>
      </w:tblGrid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Evaluation</w:t>
            </w:r>
          </w:p>
        </w:tc>
        <w:tc>
          <w:tcPr>
            <w:tcW w:w="1387" w:type="dxa"/>
          </w:tcPr>
          <w:p w:rsidR="00305796" w:rsidRDefault="00305796" w:rsidP="00310999">
            <w:pPr>
              <w:pStyle w:val="NormalWeb"/>
              <w:spacing w:before="0" w:beforeAutospacing="0" w:after="16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DengXian" w:hAnsi="Arial"/>
                <w:color w:val="3F3E46"/>
                <w:kern w:val="24"/>
                <w:sz w:val="22"/>
                <w:szCs w:val="22"/>
              </w:rPr>
              <w:t>D.Import</w:t>
            </w:r>
          </w:p>
        </w:tc>
        <w:tc>
          <w:tcPr>
            <w:tcW w:w="1387" w:type="dxa"/>
          </w:tcPr>
          <w:p w:rsidR="00305796" w:rsidRDefault="00305796" w:rsidP="00310999">
            <w:pPr>
              <w:pStyle w:val="NormalWeb"/>
              <w:spacing w:before="0" w:beforeAutospacing="0" w:after="16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/>
                <w:color w:val="3F3E46"/>
                <w:kern w:val="24"/>
                <w:sz w:val="22"/>
                <w:szCs w:val="22"/>
              </w:rPr>
              <w:t>D.Export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Average</w:t>
            </w:r>
          </w:p>
        </w:tc>
      </w:tr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MAE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RMSE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  <w:tr w:rsidR="00305796" w:rsidTr="00310999">
        <w:tc>
          <w:tcPr>
            <w:tcW w:w="1510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  <w:r>
              <w:rPr>
                <w:rFonts w:ascii="Arial" w:eastAsia="Times New Roman" w:hAnsi="Arial" w:cs="Arial"/>
                <w:color w:val="3F3E46"/>
              </w:rPr>
              <w:t>MAPE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  <w:tr w:rsidR="00305796" w:rsidTr="00310999">
        <w:tc>
          <w:tcPr>
            <w:tcW w:w="1510" w:type="dxa"/>
          </w:tcPr>
          <w:p w:rsidR="00305796" w:rsidRPr="00B25321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  <w:vertAlign w:val="superscript"/>
              </w:rPr>
            </w:pPr>
            <w:r>
              <w:rPr>
                <w:rFonts w:ascii="Arial" w:eastAsia="Times New Roman" w:hAnsi="Arial" w:cs="Arial"/>
                <w:color w:val="3F3E46"/>
              </w:rPr>
              <w:t>R</w:t>
            </w:r>
            <w:r>
              <w:rPr>
                <w:rFonts w:ascii="Arial" w:eastAsia="Times New Roman" w:hAnsi="Arial" w:cs="Arial"/>
                <w:color w:val="3F3E46"/>
                <w:vertAlign w:val="superscript"/>
              </w:rPr>
              <w:t>2</w:t>
            </w: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  <w:tc>
          <w:tcPr>
            <w:tcW w:w="1387" w:type="dxa"/>
          </w:tcPr>
          <w:p w:rsidR="00305796" w:rsidRDefault="00305796" w:rsidP="0031099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F3E46"/>
              </w:rPr>
            </w:pPr>
          </w:p>
        </w:tc>
      </w:tr>
    </w:tbl>
    <w:p w:rsidR="00305796" w:rsidRPr="00081E64" w:rsidRDefault="00305796" w:rsidP="00305796">
      <w:pPr>
        <w:shd w:val="clear" w:color="auto" w:fill="F3F3F5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F3E46"/>
        </w:rPr>
      </w:pPr>
    </w:p>
    <w:p w:rsidR="00305796" w:rsidRDefault="00305796" w:rsidP="00305796">
      <w:pPr>
        <w:shd w:val="clear" w:color="auto" w:fill="F3F3F5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F3E46"/>
        </w:rPr>
      </w:pPr>
    </w:p>
    <w:p w:rsidR="00305796" w:rsidRPr="00081E64" w:rsidRDefault="00305796" w:rsidP="00305796">
      <w:pPr>
        <w:shd w:val="clear" w:color="auto" w:fill="F3F3F5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F3E46"/>
        </w:rPr>
      </w:pPr>
      <w:r w:rsidRPr="00BE28CF">
        <w:rPr>
          <w:rFonts w:ascii="Arial" w:eastAsia="Times New Roman" w:hAnsi="Arial" w:cs="Arial"/>
          <w:color w:val="3F3E46"/>
        </w:rPr>
        <w:t>Accuracy evaluation of ARIMA, SARIMAX on Fitting</w:t>
      </w:r>
      <w:r>
        <w:rPr>
          <w:rFonts w:ascii="Arial" w:eastAsia="Times New Roman" w:hAnsi="Arial" w:cs="Arial"/>
          <w:color w:val="3F3E46"/>
        </w:rPr>
        <w:t xml:space="preserve">  and Forecasting D.Import and D.Export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315"/>
        <w:gridCol w:w="781"/>
        <w:gridCol w:w="956"/>
        <w:gridCol w:w="886"/>
        <w:gridCol w:w="518"/>
        <w:gridCol w:w="1111"/>
        <w:gridCol w:w="852"/>
        <w:gridCol w:w="840"/>
        <w:gridCol w:w="685"/>
      </w:tblGrid>
      <w:tr w:rsidR="00305796" w:rsidTr="00310999">
        <w:tc>
          <w:tcPr>
            <w:tcW w:w="1072" w:type="dxa"/>
            <w:vMerge w:val="restart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315" w:type="dxa"/>
            <w:vMerge w:val="restart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3141" w:type="dxa"/>
            <w:gridSpan w:val="4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Fitting (in-sample)</w:t>
            </w:r>
          </w:p>
        </w:tc>
        <w:tc>
          <w:tcPr>
            <w:tcW w:w="3488" w:type="dxa"/>
            <w:gridSpan w:val="4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  <w:r w:rsidRPr="006C6892">
              <w:rPr>
                <w:rFonts w:ascii="Arial" w:hAnsi="Arial" w:cs="Arial"/>
                <w:highlight w:val="yellow"/>
              </w:rPr>
              <w:t>Model Forcasting (out-of-sample)</w:t>
            </w:r>
          </w:p>
        </w:tc>
      </w:tr>
      <w:tr w:rsidR="00305796" w:rsidTr="00310999">
        <w:tc>
          <w:tcPr>
            <w:tcW w:w="1072" w:type="dxa"/>
            <w:vMerge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1315" w:type="dxa"/>
            <w:vMerge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</w:t>
            </w:r>
          </w:p>
        </w:tc>
        <w:tc>
          <w:tcPr>
            <w:tcW w:w="956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RMSE</w:t>
            </w:r>
          </w:p>
        </w:tc>
        <w:tc>
          <w:tcPr>
            <w:tcW w:w="886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MAPE</w:t>
            </w:r>
          </w:p>
        </w:tc>
        <w:tc>
          <w:tcPr>
            <w:tcW w:w="518" w:type="dxa"/>
          </w:tcPr>
          <w:p w:rsidR="00305796" w:rsidRPr="00BE28CF" w:rsidRDefault="00305796" w:rsidP="00310999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111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  <w:r w:rsidRPr="006C6892">
              <w:rPr>
                <w:rFonts w:ascii="Arial" w:hAnsi="Arial" w:cs="Arial"/>
                <w:highlight w:val="yellow"/>
              </w:rPr>
              <w:t>MAE</w:t>
            </w:r>
          </w:p>
        </w:tc>
        <w:tc>
          <w:tcPr>
            <w:tcW w:w="852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  <w:r w:rsidRPr="006C6892">
              <w:rPr>
                <w:rFonts w:ascii="Arial" w:hAnsi="Arial" w:cs="Arial"/>
                <w:highlight w:val="yellow"/>
              </w:rPr>
              <w:t>RMSE</w:t>
            </w:r>
          </w:p>
        </w:tc>
        <w:tc>
          <w:tcPr>
            <w:tcW w:w="840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  <w:r w:rsidRPr="006C6892">
              <w:rPr>
                <w:rFonts w:ascii="Arial" w:hAnsi="Arial" w:cs="Arial"/>
                <w:highlight w:val="yellow"/>
              </w:rPr>
              <w:t>MAPE</w:t>
            </w:r>
          </w:p>
        </w:tc>
        <w:tc>
          <w:tcPr>
            <w:tcW w:w="685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  <w:vertAlign w:val="superscript"/>
              </w:rPr>
            </w:pPr>
            <w:r w:rsidRPr="006C6892">
              <w:rPr>
                <w:rFonts w:ascii="Arial" w:hAnsi="Arial" w:cs="Arial"/>
                <w:highlight w:val="yellow"/>
              </w:rPr>
              <w:t>R</w:t>
            </w:r>
            <w:r w:rsidRPr="006C6892">
              <w:rPr>
                <w:rFonts w:ascii="Arial" w:hAnsi="Arial" w:cs="Arial"/>
                <w:highlight w:val="yellow"/>
                <w:vertAlign w:val="superscript"/>
              </w:rPr>
              <w:t>2</w:t>
            </w:r>
          </w:p>
        </w:tc>
      </w:tr>
      <w:tr w:rsidR="00305796" w:rsidTr="00310999">
        <w:tc>
          <w:tcPr>
            <w:tcW w:w="1072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D.Import</w:t>
            </w:r>
          </w:p>
        </w:tc>
        <w:tc>
          <w:tcPr>
            <w:tcW w:w="1315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ARIMA</w:t>
            </w:r>
          </w:p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SARIMAX</w:t>
            </w:r>
          </w:p>
        </w:tc>
        <w:tc>
          <w:tcPr>
            <w:tcW w:w="781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518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852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840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85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</w:tr>
      <w:tr w:rsidR="00305796" w:rsidTr="00310999">
        <w:tc>
          <w:tcPr>
            <w:tcW w:w="1072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D.Export</w:t>
            </w:r>
          </w:p>
        </w:tc>
        <w:tc>
          <w:tcPr>
            <w:tcW w:w="1315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ARIMA</w:t>
            </w:r>
          </w:p>
          <w:p w:rsidR="00305796" w:rsidRDefault="00305796" w:rsidP="00310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SARIMAX</w:t>
            </w:r>
          </w:p>
        </w:tc>
        <w:tc>
          <w:tcPr>
            <w:tcW w:w="781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518" w:type="dxa"/>
          </w:tcPr>
          <w:p w:rsidR="00305796" w:rsidRDefault="00305796" w:rsidP="00310999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852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840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85" w:type="dxa"/>
          </w:tcPr>
          <w:p w:rsidR="00305796" w:rsidRPr="006C6892" w:rsidRDefault="00305796" w:rsidP="00310999">
            <w:pPr>
              <w:rPr>
                <w:rFonts w:ascii="Arial" w:hAnsi="Arial" w:cs="Arial"/>
                <w:highlight w:val="yellow"/>
              </w:rPr>
            </w:pPr>
          </w:p>
        </w:tc>
      </w:tr>
    </w:tbl>
    <w:p w:rsidR="00305796" w:rsidRDefault="00305796">
      <w:bookmarkStart w:id="0" w:name="_GoBack"/>
      <w:bookmarkEnd w:id="0"/>
    </w:p>
    <w:sectPr w:rsidR="0030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6"/>
    <w:rsid w:val="00305796"/>
    <w:rsid w:val="009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AECE"/>
  <w15:chartTrackingRefBased/>
  <w15:docId w15:val="{3D397572-9E3F-45F5-BE7F-C451CF11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79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mailto:info@singstat.gov.s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BB-05</dc:creator>
  <cp:keywords/>
  <dc:description/>
  <cp:lastModifiedBy>BB-05</cp:lastModifiedBy>
  <cp:revision>1</cp:revision>
  <dcterms:created xsi:type="dcterms:W3CDTF">2022-08-08T13:19:00Z</dcterms:created>
  <dcterms:modified xsi:type="dcterms:W3CDTF">2022-08-08T13:34:00Z</dcterms:modified>
</cp:coreProperties>
</file>