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w:rPr>
          <w:rFonts w:ascii="Calibri" w:hAnsi="Calibri" w:eastAsia="Calibri"/>
          <w:b/>
          <w:color w:val="0e7490"/>
          <w:sz w:val="28"/>
        </w:rPr>
        <w:t xml:space="preserve">IDEC · Infraestructura de Datos Espaciales</w:t>
      </w:r>
      <w:r/>
    </w:p>
    <w:p>
      <w:pPr>
        <w:pBdr/>
        <w:spacing/>
        <w:ind/>
        <w:jc w:val="center"/>
        <w:rPr/>
      </w:pPr>
      <w:r>
        <w:rPr>
          <w:rFonts w:ascii="Calibri" w:hAnsi="Calibri" w:eastAsia="Calibri"/>
          <w:b/>
          <w:color w:val="1e3a5f"/>
          <w:sz w:val="52"/>
        </w:rPr>
        <w:t xml:space="preserve">Guía de Desarrollo del ERP Catastro</w:t>
      </w:r>
      <w:r/>
    </w:p>
    <w:p>
      <w:pPr>
        <w:pBdr/>
        <w:spacing/>
        <w:ind/>
        <w:jc w:val="center"/>
        <w:rPr/>
      </w:pPr>
      <w:r>
        <w:rPr>
          <w:rFonts w:ascii="Calibri" w:hAnsi="Calibri" w:eastAsia="Calibri"/>
          <w:color w:val="475569"/>
          <w:sz w:val="24"/>
        </w:rPr>
        <w:t xml:space="preserve">Arquitectura, convenciones de código, base de datos y onboarding</w:t>
      </w:r>
      <w:r>
        <w:rPr>
          <w:rFonts w:ascii="Calibri" w:hAnsi="Calibri" w:eastAsia="Calibri"/>
          <w:color w:val="475569"/>
          <w:sz w:val="24"/>
        </w:rPr>
        <w:br/>
        <w:t xml:space="preserve">para desarrolladores (documento vivo entre equipos)</w:t>
      </w:r>
      <w:r/>
    </w:p>
    <w:p>
      <w:pPr>
        <w:pBdr/>
        <w:spacing/>
        <w:ind/>
        <w:jc w:val="center"/>
        <w:rPr/>
      </w:pPr>
      <w:r>
        <w:rPr>
          <w:rFonts w:ascii="Calibri" w:hAnsi="Calibri" w:eastAsia="Calibri"/>
          <w:b/>
        </w:rPr>
        <w:t xml:space="preserve">Versión 2.1 · 2026-09-15 · GAMC / Catastro Cochabamba</w:t>
      </w:r>
      <w:r/>
    </w:p>
    <w:p>
      <w:pPr>
        <w:pBdr/>
        <w:spacing w:after="160"/>
        <w:ind/>
        <w:rPr/>
      </w:pPr>
      <w:r>
        <w:rPr>
          <w:rFonts w:ascii="Calibri" w:hAnsi="Calibri" w:eastAsia="Calibri"/>
          <w:i/>
          <w:sz w:val="20"/>
        </w:rPr>
        <w:t xml:space="preserve">Este documento reemplaza y completa el borrad</w:t>
      </w:r>
      <w:r>
        <w:rPr>
          <w:rFonts w:ascii="Calibri" w:hAnsi="Calibri" w:eastAsia="Calibri"/>
          <w:i/>
          <w:sz w:val="20"/>
        </w:rPr>
        <w:t xml:space="preserve">or “Convenciones de Código y Base de Datos” elaborado por pasantes. Integra la arquitectura real de los repositorios idec-erp-front, idec-erp-back, clientes móviles (apps nativas) y el motor de detección (BackendVisionComputadora / detectorconstrucciones).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654"/>
        <w:pBdr/>
        <w:spacing/>
        <w:ind/>
        <w:rPr/>
      </w:pPr>
      <w:r>
        <w:rPr>
          <w:color w:val="1e3a5f"/>
        </w:rPr>
        <w:t xml:space="preserve">Contenido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1. Propósito y audiencia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2. Visión del sistema IDEC / ERP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3. Repositorios, ambientes y servidores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4. Arquitectura de software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5. Backend (idec-erp-back)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6. Frontend web (idec-erp-front)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7. Aplicaciones móviles — convenciones y dónde crear el backend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8. Autenticación, autorización y permisos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9. Comunicación HTTP entre capas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10. Convenciones de nombres (código)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11. Convenciones de Git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12. Arquitectura y convenciones de base de datos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13. Cómo agregar un dominio nuevo (web y/o móvil)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14. Checklist del desarrollador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15. Errores frecuentes y anti-patrones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16. Referencias</w:t>
      </w:r>
      <w:r/>
      <w:r>
        <w:br w:type="page" w:clear="all"/>
      </w:r>
      <w:r/>
      <w:r/>
    </w:p>
    <w:p>
      <w:pPr>
        <w:pStyle w:val="654"/>
        <w:pBdr/>
        <w:spacing/>
        <w:ind/>
        <w:rPr/>
      </w:pPr>
      <w:r>
        <w:rPr>
          <w:color w:val="1e3a5f"/>
        </w:rPr>
        <w:t xml:space="preserve">1. Propósito y audiencia</w:t>
      </w:r>
      <w:r/>
    </w:p>
    <w:p>
      <w:pPr>
        <w:pBdr/>
        <w:spacing w:after="160"/>
        <w:ind/>
        <w:rPr/>
      </w:pPr>
      <w:r>
        <w:rPr>
          <w:rFonts w:ascii="Calibri" w:hAnsi="Calibri" w:eastAsia="Calibri"/>
        </w:rPr>
        <w:t xml:space="preserve">Esta guía es el docume</w:t>
      </w:r>
      <w:r>
        <w:rPr>
          <w:rFonts w:ascii="Calibri" w:hAnsi="Calibri" w:eastAsia="Calibri"/>
        </w:rPr>
        <w:t xml:space="preserve">nto de referencia para cualquier desarrollador que entre al proyecto IDEC ERP Catastro. Debe permitir entender qué se construye, cómo está organizado el código, qué reglas de nombres y datos se siguen, y cómo extender el sistema sin romper la arquitectura.</w:t>
      </w:r>
      <w:r/>
    </w:p>
    <w:p>
      <w:pPr>
        <w:pBdr/>
        <w:spacing w:after="160"/>
        <w:ind/>
        <w:rPr/>
      </w:pPr>
      <w:r>
        <w:rPr>
          <w:rFonts w:ascii="Calibri" w:hAnsi="Calibri" w:eastAsia="Calibri"/>
          <w:b/>
        </w:rPr>
        <w:t xml:space="preserve">Audiencia: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Desarrolladores backend y frontend web del ERP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Desarrolladores de aplicaciones móviles (Flutter / Kotlin / Swift u otra stack acordada)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Pasantes e incorporaciones nuevas al equipo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Integradores del módulo de detección / GIS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Líderes técnicos que revisan PRs y despliegues</w:t>
      </w:r>
      <w:r/>
    </w:p>
    <w:p>
      <w:pPr>
        <w:pBdr/>
        <w:spacing/>
        <w:ind/>
        <w:rPr/>
      </w:pPr>
      <w:r>
        <w:rPr>
          <w:rFonts w:ascii="Calibri" w:hAnsi="Calibri" w:eastAsia="Calibri"/>
          <w:b/>
          <w:color w:val="92400e"/>
          <w:sz w:val="20"/>
        </w:rPr>
        <w:t xml:space="preserve">Nota: </w:t>
      </w:r>
      <w:r>
        <w:rPr>
          <w:rFonts w:ascii="Calibri" w:hAnsi="Calibri" w:eastAsia="Calibri"/>
          <w:color w:val="78350f"/>
          <w:sz w:val="20"/>
        </w:rPr>
        <w:t xml:space="preserve">Cuando haya duda entre este documento y el código, prevalece el código en master de los repositorios oficiales, y luego se actualiza esta guía.</w:t>
      </w:r>
      <w:r/>
    </w:p>
    <w:p>
      <w:pPr>
        <w:pStyle w:val="654"/>
        <w:pBdr/>
        <w:spacing/>
        <w:ind/>
        <w:rPr/>
      </w:pPr>
      <w:r>
        <w:rPr>
          <w:color w:val="1e3a5f"/>
        </w:rPr>
        <w:t xml:space="preserve">2. Visión del sistema IDEC / ERP</w:t>
      </w:r>
      <w:r/>
    </w:p>
    <w:p>
      <w:pPr>
        <w:pBdr/>
        <w:spacing w:after="160"/>
        <w:ind/>
        <w:rPr/>
      </w:pPr>
      <w:r>
        <w:rPr>
          <w:rFonts w:ascii="Calibri" w:hAnsi="Calibri" w:eastAsia="Calibri"/>
        </w:rPr>
        <w:t xml:space="preserve">El ERP Catastro forma parte de la Infraestructura de </w:t>
      </w:r>
      <w:r>
        <w:rPr>
          <w:rFonts w:ascii="Calibri" w:hAnsi="Calibri" w:eastAsia="Calibri"/>
        </w:rPr>
        <w:t xml:space="preserve">Datos Espaciales (IDEC) municipal. Es una aplicación web modular: un solo producto con varios dominios de negocio (seguridad, geoextracción, detección de construcciones, resoluciones, etc.), autenticados contra Keycloak y persistidos en PostgreSQL/PostGIS.</w:t>
      </w:r>
      <w:r/>
    </w:p>
    <w:p>
      <w:pPr>
        <w:pBdr/>
        <w:spacing w:after="160"/>
        <w:ind/>
        <w:rPr/>
      </w:pPr>
      <w:r>
        <w:rPr>
          <w:rFonts w:ascii="Calibri" w:hAnsi="Calibri" w:eastAsia="Calibri"/>
          <w:b/>
        </w:rPr>
        <w:t xml:space="preserve">Principios de diseño: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Monolito modular por dominios (no un microservicio por módulo).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Clean Architecture / hexagonal ligera en el backend (domain / application / infrastructure / presentation).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Frontend por dominios espejo del backend (domains/&lt;nombre&gt;).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El navegador nunca habla con motores internos (GPU :8100); solo con el ERP Back (BFF).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RBAC interno del ERP (permisos dominio.accion), no roles Keycloak en endpoints de negocio.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Un único registry conoce todos los dominios (front y back).</w:t>
      </w:r>
      <w:r/>
    </w:p>
    <w:p>
      <w:pPr>
        <w:pStyle w:val="654"/>
        <w:pBdr/>
        <w:spacing/>
        <w:ind/>
        <w:rPr/>
      </w:pPr>
      <w:r>
        <w:rPr>
          <w:color w:val="1e3a5f"/>
        </w:rPr>
        <w:t xml:space="preserve">3. Repositorios, ambientes y servidores</w:t>
      </w:r>
      <w:r/>
    </w:p>
    <w:p>
      <w:pPr>
        <w:pStyle w:val="655"/>
        <w:pBdr/>
        <w:spacing/>
        <w:ind/>
        <w:rPr/>
      </w:pPr>
      <w:r>
        <w:rPr>
          <w:color w:val="1e3a5f"/>
        </w:rPr>
        <w:t xml:space="preserve">3.1 Repositorios</w:t>
      </w:r>
      <w:r/>
    </w:p>
    <w:tbl>
      <w:tblPr>
        <w:tblStyle w:val="718"/>
        <w:tblW w:w="0" w:type="auto"/>
        <w:tblBorders/>
        <w:tblLook w:val="04A0" w:firstRow="1" w:lastRow="0" w:firstColumn="1" w:lastColumn="0" w:noHBand="0" w:noVBand="1"/>
      </w:tblPr>
      <w:tblGrid>
        <w:gridCol w:w="1984"/>
        <w:gridCol w:w="3999"/>
        <w:gridCol w:w="3685"/>
      </w:tblGrid>
      <w:tr>
        <w:trPr/>
        <w:tc>
          <w:tcPr>
            <w:shd w:val="clear" w:color="auto" w:fill="1e3a5f"/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Proyecto</w:t>
            </w:r>
            <w:r/>
          </w:p>
        </w:tc>
        <w:tc>
          <w:tcPr>
            <w:shd w:val="clear" w:color="auto" w:fill="1e3a5f"/>
            <w:tcBorders/>
            <w:tcW w:w="399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Local (ejemplo)</w:t>
            </w:r>
            <w:r/>
          </w:p>
        </w:tc>
        <w:tc>
          <w:tcPr>
            <w:shd w:val="clear" w:color="auto" w:fill="1e3a5f"/>
            <w:tcBorders/>
            <w:tcW w:w="36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Remoto GitLab</w:t>
            </w:r>
            <w:r/>
          </w:p>
        </w:tc>
      </w:tr>
      <w:tr>
        <w:trPr/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ERP Frontend</w:t>
            </w:r>
            <w:r/>
          </w:p>
        </w:tc>
        <w:tc>
          <w:tcPr>
            <w:tcBorders/>
            <w:tcW w:w="399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...\visionComputadora\idec-erp-front</w:t>
            </w:r>
            <w:r/>
          </w:p>
        </w:tc>
        <w:tc>
          <w:tcPr>
            <w:tcBorders/>
            <w:tcW w:w="36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gitlab.catastrocbba.com/rbedoya/idec-erp-front</w:t>
            </w:r>
            <w:r/>
          </w:p>
        </w:tc>
      </w:tr>
      <w:tr>
        <w:trPr/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ERP Backend</w:t>
            </w:r>
            <w:r/>
          </w:p>
        </w:tc>
        <w:tc>
          <w:tcPr>
            <w:tcBorders/>
            <w:tcW w:w="399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...\visionComputadora\idec-erp-back</w:t>
            </w:r>
            <w:r/>
          </w:p>
        </w:tc>
        <w:tc>
          <w:tcPr>
            <w:tcBorders/>
            <w:tcW w:w="36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gitlab.catastrocbba.com/rbedoya/idec-erp-back</w:t>
            </w:r>
            <w:r/>
          </w:p>
        </w:tc>
      </w:tr>
      <w:tr>
        <w:trPr/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App móvil (cliente)</w:t>
            </w:r>
            <w:r/>
          </w:p>
        </w:tc>
        <w:tc>
          <w:tcPr>
            <w:tcBorders/>
            <w:tcW w:w="399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Repo propio del cliente (p.ej. Flutter)</w:t>
            </w:r>
            <w:r/>
          </w:p>
        </w:tc>
        <w:tc>
          <w:tcPr>
            <w:tcBorders/>
            <w:tcW w:w="36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GitLab del equipo; NO meter la app dentro de idec-erp-front</w:t>
            </w:r>
            <w:r/>
          </w:p>
        </w:tc>
      </w:tr>
      <w:tr>
        <w:trPr/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API para móvil</w:t>
            </w:r>
            <w:r/>
          </w:p>
        </w:tc>
        <w:tc>
          <w:tcPr>
            <w:tcBorders/>
            <w:tcW w:w="399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...\visionComputadora\idec-erp-back</w:t>
            </w:r>
            <w:r/>
          </w:p>
        </w:tc>
        <w:tc>
          <w:tcPr>
            <w:tcBorders/>
            <w:tcW w:w="36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Mismo ERP Back: dominio en app/domains/&lt;nombre&gt;/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55"/>
        <w:pBdr/>
        <w:spacing/>
        <w:ind/>
        <w:rPr/>
      </w:pPr>
      <w:r>
        <w:rPr>
          <w:color w:val="1e3a5f"/>
        </w:rPr>
        <w:t xml:space="preserve">3.2 Servidores típicos</w:t>
      </w:r>
      <w:r/>
    </w:p>
    <w:tbl>
      <w:tblPr>
        <w:tblStyle w:val="718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3118"/>
        <w:gridCol w:w="3969"/>
      </w:tblGrid>
      <w:tr>
        <w:trPr/>
        <w:tc>
          <w:tcPr>
            <w:shd w:val="clear" w:color="auto" w:fill="1e3a5f"/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Rol</w:t>
            </w:r>
            <w:r/>
          </w:p>
        </w:tc>
        <w:tc>
          <w:tcPr>
            <w:shd w:val="clear" w:color="auto" w:fill="1e3a5f"/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Host / URL</w:t>
            </w:r>
            <w:r/>
          </w:p>
        </w:tc>
        <w:tc>
          <w:tcPr>
            <w:shd w:val="clear" w:color="auto" w:fill="1e3a5f"/>
            <w:tcBorders/>
            <w:tcW w:w="396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Notas</w:t>
            </w:r>
            <w:r/>
          </w:p>
        </w:tc>
      </w:tr>
      <w:tr>
        <w:trPr/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ERP Front (dev)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http://localhost:8060</w:t>
            </w:r>
            <w:r/>
          </w:p>
        </w:tc>
        <w:tc>
          <w:tcPr>
            <w:tcBorders/>
            <w:tcW w:w="396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Vite</w:t>
            </w:r>
            <w:r/>
          </w:p>
        </w:tc>
      </w:tr>
      <w:tr>
        <w:trPr/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ERP Back (dev)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http://localhost:8061</w:t>
            </w:r>
            <w:r/>
          </w:p>
        </w:tc>
        <w:tc>
          <w:tcPr>
            <w:tcBorders/>
            <w:tcW w:w="396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FastAPI /api</w:t>
            </w:r>
            <w:r/>
          </w:p>
        </w:tc>
      </w:tr>
      <w:tr>
        <w:trPr/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ERP desplegado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172.16.65.40</w:t>
            </w:r>
            <w:r/>
          </w:p>
        </w:tc>
        <w:tc>
          <w:tcPr>
            <w:tcBorders/>
            <w:tcW w:w="396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erp-frontend / backend ERP</w:t>
            </w:r>
            <w:r/>
          </w:p>
        </w:tc>
      </w:tr>
      <w:tr>
        <w:trPr/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WMS / ArcGIS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https://gs.catastrocbba.com</w:t>
            </w:r>
            <w:r/>
          </w:p>
        </w:tc>
        <w:tc>
          <w:tcPr>
            <w:tcBorders/>
            <w:tcW w:w="396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Ortofotos y capas catastro</w:t>
            </w:r>
            <w:r/>
          </w:p>
        </w:tc>
      </w:tr>
      <w:tr>
        <w:trPr/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BD ERP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PostgreSQL idec_erp (+ PostGIS)</w:t>
            </w:r>
            <w:r/>
          </w:p>
        </w:tc>
        <w:tc>
          <w:tcPr>
            <w:tcBorders/>
            <w:tcW w:w="396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Según settings DB_*</w:t>
            </w:r>
            <w:r/>
          </w:p>
        </w:tc>
      </w:tr>
      <w:tr>
        <w:trPr/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Identity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Keycloak</w:t>
            </w:r>
            <w:r/>
          </w:p>
        </w:tc>
        <w:tc>
          <w:tcPr>
            <w:tcBorders/>
            <w:tcW w:w="396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OIDC / JWT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54"/>
        <w:pBdr/>
        <w:spacing/>
        <w:ind/>
        <w:rPr/>
      </w:pPr>
      <w:r>
        <w:rPr>
          <w:color w:val="1e3a5f"/>
        </w:rPr>
        <w:t xml:space="preserve">4. Arquitectura de software</w:t>
      </w:r>
      <w:r/>
    </w:p>
    <w:p>
      <w:pPr>
        <w:pBdr/>
        <w:spacing w:after="160"/>
        <w:ind/>
        <w:rPr/>
      </w:pPr>
      <w:r>
        <w:rPr>
          <w:rFonts w:ascii="Calibri" w:hAnsi="Calibri" w:eastAsia="Calibri"/>
          <w:b/>
        </w:rPr>
        <w:t xml:space="preserve">Diagrama lógico (producción):</w:t>
      </w:r>
      <w:r/>
    </w:p>
    <w:p>
      <w:pPr>
        <w:pBdr/>
        <w:spacing w:after="160" w:before="80"/>
        <w:ind w:left="170"/>
        <w:rPr/>
      </w:pPr>
      <w:r>
        <w:rPr>
          <w:rFonts w:ascii="Consolas" w:hAnsi="Consolas" w:eastAsia="Consolas"/>
          <w:color w:val="1e293b"/>
          <w:sz w:val="18"/>
        </w:rPr>
        <w:t xml:space="preserve">Browser (ERP Front) ──┐</w:t>
      </w:r>
      <w:r>
        <w:rPr>
          <w:rFonts w:ascii="Consolas" w:hAnsi="Consolas" w:eastAsia="Consolas"/>
          <w:color w:val="1e293b"/>
          <w:sz w:val="18"/>
        </w:rPr>
        <w:br/>
        <w:t xml:space="preserve">App móvil (nativa) ────┼── HTTPS + Bearer JWT</w:t>
      </w:r>
      <w:r>
        <w:rPr>
          <w:rFonts w:ascii="Consolas" w:hAnsi="Consolas" w:eastAsia="Consolas"/>
          <w:color w:val="1e293b"/>
          <w:sz w:val="18"/>
        </w:rPr>
        <w:br/>
        <w:t xml:space="preserve">                      ▼</w:t>
      </w:r>
      <w:r>
        <w:rPr>
          <w:rFonts w:ascii="Consolas" w:hAnsi="Consolas" w:eastAsia="Consolas"/>
          <w:color w:val="1e293b"/>
          <w:sz w:val="18"/>
        </w:rPr>
        <w:br/>
        <w:t xml:space="preserve">              idec-erp-back  /api/&lt;dominio&gt;/...</w:t>
      </w:r>
      <w:r>
        <w:rPr>
          <w:rFonts w:ascii="Consolas" w:hAnsi="Consolas" w:eastAsia="Consolas"/>
          <w:color w:val="1e293b"/>
          <w:sz w:val="18"/>
        </w:rPr>
        <w:br/>
        <w:t xml:space="preserve">                      │</w:t>
      </w:r>
      <w:r>
        <w:rPr>
          <w:rFonts w:ascii="Consolas" w:hAnsi="Consolas" w:eastAsia="Consolas"/>
          <w:color w:val="1e293b"/>
          <w:sz w:val="18"/>
        </w:rPr>
        <w:br/>
        <w:t xml:space="preserve">                      ├─► Keycloak (validar token)</w:t>
      </w:r>
      <w:r>
        <w:rPr>
          <w:rFonts w:ascii="Consolas" w:hAnsi="Consolas" w:eastAsia="Consolas"/>
          <w:color w:val="1e293b"/>
          <w:sz w:val="18"/>
        </w:rPr>
        <w:br/>
        <w:t xml:space="preserve">                      ├─► PostgreSQL / PostGIS (idec_erp)</w:t>
      </w:r>
      <w:r>
        <w:rPr>
          <w:rFonts w:ascii="Consolas" w:hAnsi="Consolas" w:eastAsia="Consolas"/>
          <w:color w:val="1e293b"/>
          <w:sz w:val="18"/>
        </w:rPr>
        <w:br/>
        <w:t xml:space="preserve">                      └─► (solo dominio detection) Motor GPU :8100</w:t>
      </w:r>
      <w:r>
        <w:rPr>
          <w:rFonts w:ascii="Consolas" w:hAnsi="Consolas" w:eastAsia="Consolas"/>
          <w:color w:val="1e293b"/>
          <w:sz w:val="18"/>
        </w:rPr>
        <w:br/>
        <w:t xml:space="preserve">                             X-Api-Key opcional · WMS gs.catastrocbba.com</w:t>
      </w:r>
      <w:r/>
    </w:p>
    <w:p>
      <w:pPr>
        <w:pBdr/>
        <w:spacing w:after="160"/>
        <w:ind/>
        <w:rPr/>
      </w:pPr>
      <w:r>
        <w:rPr>
          <w:rFonts w:ascii="Calibri" w:hAnsi="Calibri" w:eastAsia="Calibri"/>
        </w:rPr>
        <w:t xml:space="preserve">Cada dominio de negocio es un “sistema” en el menú y en RBAC. Los dominios no se importan entre sí libremente: en backend solo vía contracts/; en frontend, auth/ y domains/* usan core/ y shared/, no se acoplán entre dominios.</w:t>
      </w:r>
      <w:r/>
    </w:p>
    <w:p>
      <w:pPr>
        <w:pStyle w:val="654"/>
        <w:pBdr/>
        <w:spacing/>
        <w:ind/>
        <w:rPr/>
      </w:pPr>
      <w:r>
        <w:rPr>
          <w:color w:val="1e3a5f"/>
        </w:rPr>
        <w:t xml:space="preserve">5. Backend (idec-erp-back)</w:t>
      </w:r>
      <w:r/>
    </w:p>
    <w:p>
      <w:pPr>
        <w:pStyle w:val="655"/>
        <w:pBdr/>
        <w:spacing/>
        <w:ind/>
        <w:rPr/>
      </w:pPr>
      <w:r>
        <w:rPr>
          <w:color w:val="1e3a5f"/>
        </w:rPr>
        <w:t xml:space="preserve">5.1 Stack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FastAPI + Uvicorn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SQLAlchemy 2 + Pydantic Settings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Keycloak (JWKS) + LDAP Zentyal opcional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Prefijo API: /api (settings.API_V1_STR)</w:t>
      </w:r>
      <w:r/>
    </w:p>
    <w:p>
      <w:pPr>
        <w:pStyle w:val="655"/>
        <w:pBdr/>
        <w:spacing/>
        <w:ind/>
        <w:rPr/>
      </w:pPr>
      <w:r>
        <w:rPr>
          <w:color w:val="1e3a5f"/>
        </w:rPr>
        <w:t xml:space="preserve">5.2 Estructura de un dominio</w:t>
      </w:r>
      <w:r/>
    </w:p>
    <w:p>
      <w:pPr>
        <w:pBdr/>
        <w:spacing w:after="160" w:before="80"/>
        <w:ind w:left="170"/>
        <w:rPr/>
      </w:pPr>
      <w:r>
        <w:rPr>
          <w:rFonts w:ascii="Consolas" w:hAnsi="Consolas" w:eastAsia="Consolas"/>
          <w:color w:val="1e293b"/>
          <w:sz w:val="18"/>
        </w:rPr>
        <w:t xml:space="preserve">app/</w:t>
      </w:r>
      <w:r>
        <w:rPr>
          <w:rFonts w:ascii="Consolas" w:hAnsi="Consolas" w:eastAsia="Consolas"/>
          <w:color w:val="1e293b"/>
          <w:sz w:val="18"/>
        </w:rPr>
        <w:br/>
        <w:t xml:space="preserve">├── main.py                 # entrada</w:t>
      </w:r>
      <w:r>
        <w:rPr>
          <w:rFonts w:ascii="Consolas" w:hAnsi="Consolas" w:eastAsia="Consolas"/>
          <w:color w:val="1e293b"/>
          <w:sz w:val="18"/>
        </w:rPr>
        <w:br/>
        <w:t xml:space="preserve">├── registry.py             # registra todos los dominios</w:t>
      </w:r>
      <w:r>
        <w:rPr>
          <w:rFonts w:ascii="Consolas" w:hAnsi="Consolas" w:eastAsia="Consolas"/>
          <w:color w:val="1e293b"/>
          <w:sz w:val="18"/>
        </w:rPr>
        <w:br/>
        <w:t xml:space="preserve">├── core/                   # config, DB, errores, JWKS</w:t>
      </w:r>
      <w:r>
        <w:rPr>
          <w:rFonts w:ascii="Consolas" w:hAnsi="Consolas" w:eastAsia="Consolas"/>
          <w:color w:val="1e293b"/>
          <w:sz w:val="18"/>
        </w:rPr>
        <w:br/>
        <w:t xml:space="preserve">└── domains/&lt;nombre&gt;/</w:t>
      </w:r>
      <w:r>
        <w:rPr>
          <w:rFonts w:ascii="Consolas" w:hAnsi="Consolas" w:eastAsia="Consolas"/>
          <w:color w:val="1e293b"/>
          <w:sz w:val="18"/>
        </w:rPr>
        <w:br/>
        <w:t xml:space="preserve">    ├── presentation/       # router, endpoints, schemas, deps</w:t>
      </w:r>
      <w:r>
        <w:rPr>
          <w:rFonts w:ascii="Consolas" w:hAnsi="Consolas" w:eastAsia="Consolas"/>
          <w:color w:val="1e293b"/>
          <w:sz w:val="18"/>
        </w:rPr>
        <w:br/>
        <w:t xml:space="preserve">    ├── application/        # use_cases/</w:t>
      </w:r>
      <w:r>
        <w:rPr>
          <w:rFonts w:ascii="Consolas" w:hAnsi="Consolas" w:eastAsia="Consolas"/>
          <w:color w:val="1e293b"/>
          <w:sz w:val="18"/>
        </w:rPr>
        <w:br/>
        <w:t xml:space="preserve">    ├── domain/             # entities/, ports/, exceptions</w:t>
      </w:r>
      <w:r>
        <w:rPr>
          <w:rFonts w:ascii="Consolas" w:hAnsi="Consolas" w:eastAsia="Consolas"/>
          <w:color w:val="1e293b"/>
          <w:sz w:val="18"/>
        </w:rPr>
        <w:br/>
        <w:t xml:space="preserve">    ├── infrastructure/     # sql_*_repository, adapters, clients</w:t>
      </w:r>
      <w:r>
        <w:rPr>
          <w:rFonts w:ascii="Consolas" w:hAnsi="Consolas" w:eastAsia="Consolas"/>
          <w:color w:val="1e293b"/>
          <w:sz w:val="18"/>
        </w:rPr>
        <w:br/>
        <w:t xml:space="preserve">    ├── contracts/          # API pública hacia otros dominios</w:t>
      </w:r>
      <w:r>
        <w:rPr>
          <w:rFonts w:ascii="Consolas" w:hAnsi="Consolas" w:eastAsia="Consolas"/>
          <w:color w:val="1e293b"/>
          <w:sz w:val="18"/>
        </w:rPr>
        <w:br/>
        <w:t xml:space="preserve">    └── tests/</w:t>
      </w:r>
      <w:r/>
    </w:p>
    <w:p>
      <w:pPr>
        <w:pBdr/>
        <w:spacing w:after="160"/>
        <w:ind/>
        <w:rPr/>
      </w:pPr>
      <w:r>
        <w:rPr>
          <w:rFonts w:ascii="Calibri" w:hAnsi="Calibri" w:eastAsia="Calibri"/>
        </w:rPr>
        <w:t xml:space="preserve">Regla: el dominio (entities/ports) no depende de SQLAlchemy ni de FastAPI. La infraestructura implementa los puertos. Los use cases orquestan. La presentación solo adapta HTTP ↔ casos de uso.</w:t>
      </w:r>
      <w:r/>
    </w:p>
    <w:p>
      <w:pPr>
        <w:pStyle w:val="655"/>
        <w:pBdr/>
        <w:spacing/>
        <w:ind/>
        <w:rPr/>
      </w:pPr>
      <w:r>
        <w:rPr>
          <w:color w:val="1e3a5f"/>
        </w:rPr>
        <w:t xml:space="preserve">5.3 Dominios actuales (referencia)</w:t>
      </w:r>
      <w:r/>
    </w:p>
    <w:tbl>
      <w:tblPr>
        <w:tblStyle w:val="718"/>
        <w:tblW w:w="0" w:type="auto"/>
        <w:tblBorders/>
        <w:tblLook w:val="04A0" w:firstRow="1" w:lastRow="0" w:firstColumn="1" w:lastColumn="0" w:noHBand="0" w:noVBand="1"/>
      </w:tblPr>
      <w:tblGrid>
        <w:gridCol w:w="1814"/>
        <w:gridCol w:w="3685"/>
        <w:gridCol w:w="3855"/>
      </w:tblGrid>
      <w:tr>
        <w:trPr/>
        <w:tc>
          <w:tcPr>
            <w:shd w:val="clear" w:color="auto" w:fill="1e3a5f"/>
            <w:tcBorders/>
            <w:tcW w:w="181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Dominio</w:t>
            </w:r>
            <w:r/>
          </w:p>
        </w:tc>
        <w:tc>
          <w:tcPr>
            <w:shd w:val="clear" w:color="auto" w:fill="1e3a5f"/>
            <w:tcBorders/>
            <w:tcW w:w="36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Prefijo HTTP</w:t>
            </w:r>
            <w:r/>
          </w:p>
        </w:tc>
        <w:tc>
          <w:tcPr>
            <w:shd w:val="clear" w:color="auto" w:fill="1e3a5f"/>
            <w:tcBorders/>
            <w:tcW w:w="385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Rol</w:t>
            </w:r>
            <w:r/>
          </w:p>
        </w:tc>
      </w:tr>
      <w:tr>
        <w:trPr/>
        <w:tc>
          <w:tcPr>
            <w:tcBorders/>
            <w:tcW w:w="181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security</w:t>
            </w:r>
            <w:r/>
          </w:p>
        </w:tc>
        <w:tc>
          <w:tcPr>
            <w:tcBorders/>
            <w:tcW w:w="36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/api/login, /api/private, /api/security/...</w:t>
            </w:r>
            <w:r/>
          </w:p>
        </w:tc>
        <w:tc>
          <w:tcPr>
            <w:tcBorders/>
            <w:tcW w:w="385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Auth, usuarios, roles, permisos</w:t>
            </w:r>
            <w:r/>
          </w:p>
        </w:tc>
      </w:tr>
      <w:tr>
        <w:trPr/>
        <w:tc>
          <w:tcPr>
            <w:tcBorders/>
            <w:tcW w:w="181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geoextraction</w:t>
            </w:r>
            <w:r/>
          </w:p>
        </w:tc>
        <w:tc>
          <w:tcPr>
            <w:tcBorders/>
            <w:tcW w:w="36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/api/geoextraction/...</w:t>
            </w:r>
            <w:r/>
          </w:p>
        </w:tc>
        <w:tc>
          <w:tcPr>
            <w:tcBorders/>
            <w:tcW w:w="385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Shapefiles + capturas móviles (/captures)</w:t>
            </w:r>
            <w:r/>
          </w:p>
        </w:tc>
      </w:tr>
      <w:tr>
        <w:trPr/>
        <w:tc>
          <w:tcPr>
            <w:tcBorders/>
            <w:tcW w:w="181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detection</w:t>
            </w:r>
            <w:r/>
          </w:p>
        </w:tc>
        <w:tc>
          <w:tcPr>
            <w:tcBorders/>
            <w:tcW w:w="36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/api/detection/...</w:t>
            </w:r>
            <w:r/>
          </w:p>
        </w:tc>
        <w:tc>
          <w:tcPr>
            <w:tcBorders/>
            <w:tcW w:w="385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BFF hacia motor GPU</w:t>
            </w:r>
            <w:r/>
          </w:p>
        </w:tc>
      </w:tr>
      <w:tr>
        <w:trPr/>
        <w:tc>
          <w:tcPr>
            <w:tcBorders/>
            <w:tcW w:w="181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resolutions</w:t>
            </w:r>
            <w:r/>
          </w:p>
        </w:tc>
        <w:tc>
          <w:tcPr>
            <w:tcBorders/>
            <w:tcW w:w="36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/api/resolutions/...</w:t>
            </w:r>
            <w:r/>
          </w:p>
        </w:tc>
        <w:tc>
          <w:tcPr>
            <w:tcBorders/>
            <w:tcW w:w="385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Resoluciones P.H. / OCR; schema usado también por app móvil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55"/>
        <w:pBdr/>
        <w:spacing/>
        <w:ind/>
        <w:rPr/>
      </w:pPr>
      <w:r>
        <w:rPr>
          <w:color w:val="1e3a5f"/>
        </w:rPr>
        <w:t xml:space="preserve">5.4 Nombres típicos en backend</w:t>
      </w:r>
      <w:r/>
    </w:p>
    <w:tbl>
      <w:tblPr>
        <w:tblStyle w:val="718"/>
        <w:tblW w:w="0" w:type="auto"/>
        <w:tblBorders/>
        <w:tblLook w:val="04A0" w:firstRow="1" w:lastRow="0" w:firstColumn="1" w:lastColumn="0" w:noHBand="0" w:noVBand="1"/>
      </w:tblPr>
      <w:tblGrid>
        <w:gridCol w:w="2551"/>
        <w:gridCol w:w="2835"/>
        <w:gridCol w:w="3969"/>
      </w:tblGrid>
      <w:tr>
        <w:trPr/>
        <w:tc>
          <w:tcPr>
            <w:shd w:val="clear" w:color="auto" w:fill="1e3a5f"/>
            <w:tcBorders/>
            <w:tcW w:w="2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Elemento</w:t>
            </w:r>
            <w:r/>
          </w:p>
        </w:tc>
        <w:tc>
          <w:tcPr>
            <w:shd w:val="clear" w:color="auto" w:fill="1e3a5f"/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Convención</w:t>
            </w:r>
            <w:r/>
          </w:p>
        </w:tc>
        <w:tc>
          <w:tcPr>
            <w:shd w:val="clear" w:color="auto" w:fill="1e3a5f"/>
            <w:tcBorders/>
            <w:tcW w:w="396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Ejemplo</w:t>
            </w:r>
            <w:r/>
          </w:p>
        </w:tc>
      </w:tr>
      <w:tr>
        <w:trPr/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Archivo / módulo</w:t>
            </w:r>
            <w:r/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snake_case.py</w:t>
            </w:r>
            <w:r/>
          </w:p>
        </w:tc>
        <w:tc>
          <w:tcPr>
            <w:tcBorders/>
            <w:tcW w:w="396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sql_role_repository.py</w:t>
            </w:r>
            <w:r/>
          </w:p>
        </w:tc>
      </w:tr>
      <w:tr>
        <w:trPr/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Función / método / variable</w:t>
            </w:r>
            <w:r/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snake_case</w:t>
            </w:r>
            <w:r/>
          </w:p>
        </w:tc>
        <w:tc>
          <w:tcPr>
            <w:tcBorders/>
            <w:tcW w:w="396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list_wms_layers, user_id</w:t>
            </w:r>
            <w:r/>
          </w:p>
        </w:tc>
      </w:tr>
      <w:tr>
        <w:trPr/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Clase</w:t>
            </w:r>
            <w:r/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PascalCase</w:t>
            </w:r>
            <w:r/>
          </w:p>
        </w:tc>
        <w:tc>
          <w:tcPr>
            <w:tcBorders/>
            <w:tcW w:w="396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DetectChangesUseCase</w:t>
            </w:r>
            <w:r/>
          </w:p>
        </w:tc>
      </w:tr>
      <w:tr>
        <w:trPr/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Constante</w:t>
            </w:r>
            <w:r/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UPPER_SNAKE_CASE</w:t>
            </w:r>
            <w:r/>
          </w:p>
        </w:tc>
        <w:tc>
          <w:tcPr>
            <w:tcBorders/>
            <w:tcW w:w="396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DETECTION_ENGINE_URL</w:t>
            </w:r>
            <w:r/>
          </w:p>
        </w:tc>
      </w:tr>
      <w:tr>
        <w:trPr/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Use case</w:t>
            </w:r>
            <w:r/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*_use_case.py + execute()</w:t>
            </w:r>
            <w:r/>
          </w:p>
        </w:tc>
        <w:tc>
          <w:tcPr>
            <w:tcBorders/>
            <w:tcW w:w="396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create_resolution_use_case.py</w:t>
            </w:r>
            <w:r/>
          </w:p>
        </w:tc>
      </w:tr>
      <w:tr>
        <w:trPr/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Puerto</w:t>
            </w:r>
            <w:r/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*_port.py</w:t>
            </w:r>
            <w:r/>
          </w:p>
        </w:tc>
        <w:tc>
          <w:tcPr>
            <w:tcBorders/>
            <w:tcW w:w="396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detection_engine_port.py</w:t>
            </w:r>
            <w:r/>
          </w:p>
        </w:tc>
      </w:tr>
      <w:tr>
        <w:trPr/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Repo SQL</w:t>
            </w:r>
            <w:r/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sql_*_repository.py</w:t>
            </w:r>
            <w:r/>
          </w:p>
        </w:tc>
        <w:tc>
          <w:tcPr>
            <w:tcBorders/>
            <w:tcW w:w="396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sql_resolution_repository.py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54"/>
        <w:pBdr/>
        <w:spacing/>
        <w:ind/>
        <w:rPr/>
      </w:pPr>
      <w:r>
        <w:rPr>
          <w:color w:val="1e3a5f"/>
        </w:rPr>
        <w:t xml:space="preserve">6. Frontend web (idec-erp-front)</w:t>
      </w:r>
      <w:r/>
    </w:p>
    <w:p>
      <w:pPr>
        <w:pStyle w:val="655"/>
        <w:pBdr/>
        <w:spacing/>
        <w:ind/>
        <w:rPr/>
      </w:pPr>
      <w:r>
        <w:rPr>
          <w:color w:val="1e3a5f"/>
        </w:rPr>
        <w:t xml:space="preserve">6.1 Stack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React 19 + Vite 8 + React Router 7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Tailwind CSS v4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Alias @/ → src/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Dev: npm run dev → puerto 8060</w:t>
      </w:r>
      <w:r/>
    </w:p>
    <w:p>
      <w:pPr>
        <w:pStyle w:val="655"/>
        <w:pBdr/>
        <w:spacing/>
        <w:ind/>
        <w:rPr/>
      </w:pPr>
      <w:r>
        <w:rPr>
          <w:color w:val="1e3a5f"/>
        </w:rPr>
        <w:t xml:space="preserve">6.2 Estructura</w:t>
      </w:r>
      <w:r/>
    </w:p>
    <w:p>
      <w:pPr>
        <w:pBdr/>
        <w:spacing w:after="160" w:before="80"/>
        <w:ind w:left="170"/>
        <w:rPr/>
      </w:pPr>
      <w:r>
        <w:rPr>
          <w:rFonts w:ascii="Consolas" w:hAnsi="Consolas" w:eastAsia="Consolas"/>
          <w:color w:val="1e293b"/>
          <w:sz w:val="18"/>
        </w:rPr>
        <w:t xml:space="preserve">src/</w:t>
      </w:r>
      <w:r>
        <w:rPr>
          <w:rFonts w:ascii="Consolas" w:hAnsi="Consolas" w:eastAsia="Consolas"/>
          <w:color w:val="1e293b"/>
          <w:sz w:val="18"/>
        </w:rPr>
        <w:br/>
        <w:t xml:space="preserve">├── app/           # App, routes, AppShell, Dashboard, DomainHome</w:t>
      </w:r>
      <w:r>
        <w:rPr>
          <w:rFonts w:ascii="Consolas" w:hAnsi="Consolas" w:eastAsia="Consolas"/>
          <w:color w:val="1e293b"/>
          <w:sz w:val="18"/>
        </w:rPr>
        <w:br/>
        <w:t xml:space="preserve">├── auth/          # Login, AuthProvider, guards (NO es dominio de negocio)</w:t>
      </w:r>
      <w:r>
        <w:rPr>
          <w:rFonts w:ascii="Consolas" w:hAnsi="Consolas" w:eastAsia="Consolas"/>
          <w:color w:val="1e293b"/>
          <w:sz w:val="18"/>
        </w:rPr>
        <w:br/>
        <w:t xml:space="preserve">├── core/          # httpClient, env, endpoints.config, ApiError</w:t>
      </w:r>
      <w:r>
        <w:rPr>
          <w:rFonts w:ascii="Consolas" w:hAnsi="Consolas" w:eastAsia="Consolas"/>
          <w:color w:val="1e293b"/>
          <w:sz w:val="18"/>
        </w:rPr>
        <w:br/>
        <w:t xml:space="preserve">├── shared/        # UI, navConfig, branding</w:t>
      </w:r>
      <w:r>
        <w:rPr>
          <w:rFonts w:ascii="Consolas" w:hAnsi="Consolas" w:eastAsia="Consolas"/>
          <w:color w:val="1e293b"/>
          <w:sz w:val="18"/>
        </w:rPr>
        <w:br/>
        <w:t xml:space="preserve">├── domains/       # geoextraction, security, detection, resolutions</w:t>
      </w:r>
      <w:r>
        <w:rPr>
          <w:rFonts w:ascii="Consolas" w:hAnsi="Consolas" w:eastAsia="Consolas"/>
          <w:color w:val="1e293b"/>
          <w:sz w:val="18"/>
        </w:rPr>
        <w:br/>
        <w:t xml:space="preserve">└── assets/</w:t>
      </w:r>
      <w:r/>
    </w:p>
    <w:p>
      <w:pPr>
        <w:pStyle w:val="655"/>
        <w:pBdr/>
        <w:spacing/>
        <w:ind/>
        <w:rPr/>
      </w:pPr>
      <w:r>
        <w:rPr>
          <w:color w:val="1e3a5f"/>
        </w:rPr>
        <w:t xml:space="preserve">6.3 Dentro de un dominio front</w:t>
      </w:r>
      <w:r/>
    </w:p>
    <w:p>
      <w:pPr>
        <w:pBdr/>
        <w:spacing w:after="160" w:before="80"/>
        <w:ind w:left="170"/>
        <w:rPr/>
      </w:pPr>
      <w:r>
        <w:rPr>
          <w:rFonts w:ascii="Consolas" w:hAnsi="Consolas" w:eastAsia="Consolas"/>
          <w:color w:val="1e293b"/>
          <w:sz w:val="18"/>
        </w:rPr>
        <w:t xml:space="preserve">src/domains/&lt;dominio&gt;/</w:t>
      </w:r>
      <w:r>
        <w:rPr>
          <w:rFonts w:ascii="Consolas" w:hAnsi="Consolas" w:eastAsia="Consolas"/>
          <w:color w:val="1e293b"/>
          <w:sz w:val="18"/>
        </w:rPr>
        <w:br/>
        <w:t xml:space="preserve">├── api/&lt;dominio&gt;.api.js</w:t>
      </w:r>
      <w:r>
        <w:rPr>
          <w:rFonts w:ascii="Consolas" w:hAnsi="Consolas" w:eastAsia="Consolas"/>
          <w:color w:val="1e293b"/>
          <w:sz w:val="18"/>
        </w:rPr>
        <w:br/>
        <w:t xml:space="preserve">├── pages/</w:t>
      </w:r>
      <w:r>
        <w:rPr>
          <w:rFonts w:ascii="Consolas" w:hAnsi="Consolas" w:eastAsia="Consolas"/>
          <w:color w:val="1e293b"/>
          <w:sz w:val="18"/>
        </w:rPr>
        <w:br/>
        <w:t xml:space="preserve">├── components/</w:t>
      </w:r>
      <w:r>
        <w:rPr>
          <w:rFonts w:ascii="Consolas" w:hAnsi="Consolas" w:eastAsia="Consolas"/>
          <w:color w:val="1e293b"/>
          <w:sz w:val="18"/>
        </w:rPr>
        <w:br/>
        <w:t xml:space="preserve">├── routes.jsx</w:t>
      </w:r>
      <w:r>
        <w:rPr>
          <w:rFonts w:ascii="Consolas" w:hAnsi="Consolas" w:eastAsia="Consolas"/>
          <w:color w:val="1e293b"/>
          <w:sz w:val="18"/>
        </w:rPr>
        <w:br/>
        <w:t xml:space="preserve">└── (utils/styles opcionales)</w:t>
      </w:r>
      <w:r/>
    </w:p>
    <w:p>
      <w:pPr>
        <w:pStyle w:val="655"/>
        <w:pBdr/>
        <w:spacing/>
        <w:ind/>
        <w:rPr/>
      </w:pPr>
      <w:r>
        <w:rPr>
          <w:color w:val="1e3a5f"/>
        </w:rPr>
        <w:t xml:space="preserve">6.4 Nombres típicos en frontend</w:t>
      </w:r>
      <w:r/>
    </w:p>
    <w:tbl>
      <w:tblPr>
        <w:tblStyle w:val="718"/>
        <w:tblW w:w="0" w:type="auto"/>
        <w:tblBorders/>
        <w:tblLook w:val="04A0" w:firstRow="1" w:lastRow="0" w:firstColumn="1" w:lastColumn="0" w:noHBand="0" w:noVBand="1"/>
      </w:tblPr>
      <w:tblGrid>
        <w:gridCol w:w="2551"/>
        <w:gridCol w:w="2835"/>
        <w:gridCol w:w="3969"/>
      </w:tblGrid>
      <w:tr>
        <w:trPr/>
        <w:tc>
          <w:tcPr>
            <w:shd w:val="clear" w:color="auto" w:fill="1e3a5f"/>
            <w:tcBorders/>
            <w:tcW w:w="2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Elemento</w:t>
            </w:r>
            <w:r/>
          </w:p>
        </w:tc>
        <w:tc>
          <w:tcPr>
            <w:shd w:val="clear" w:color="auto" w:fill="1e3a5f"/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Convención</w:t>
            </w:r>
            <w:r/>
          </w:p>
        </w:tc>
        <w:tc>
          <w:tcPr>
            <w:shd w:val="clear" w:color="auto" w:fill="1e3a5f"/>
            <w:tcBorders/>
            <w:tcW w:w="396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Ejemplo</w:t>
            </w:r>
            <w:r/>
          </w:p>
        </w:tc>
      </w:tr>
      <w:tr>
        <w:trPr/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Componente (.jsx)</w:t>
            </w:r>
            <w:r/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PascalCase</w:t>
            </w:r>
            <w:r/>
          </w:p>
        </w:tc>
        <w:tc>
          <w:tcPr>
            <w:tcBorders/>
            <w:tcW w:w="396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RoleFormModal.jsx</w:t>
            </w:r>
            <w:r/>
          </w:p>
        </w:tc>
      </w:tr>
      <w:tr>
        <w:trPr/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API / util (.js)</w:t>
            </w:r>
            <w:r/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camelCase o dominio.api.js</w:t>
            </w:r>
            <w:r/>
          </w:p>
        </w:tc>
        <w:tc>
          <w:tcPr>
            <w:tcBorders/>
            <w:tcW w:w="396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detection.api.js</w:t>
            </w:r>
            <w:r/>
          </w:p>
        </w:tc>
      </w:tr>
      <w:tr>
        <w:trPr/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Hook</w:t>
            </w:r>
            <w:r/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useXxx</w:t>
            </w:r>
            <w:r/>
          </w:p>
        </w:tc>
        <w:tc>
          <w:tcPr>
            <w:tcBorders/>
            <w:tcW w:w="396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useAuth</w:t>
            </w:r>
            <w:r/>
          </w:p>
        </w:tc>
      </w:tr>
      <w:tr>
        <w:trPr/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Función / variable</w:t>
            </w:r>
            <w:r/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camelCase</w:t>
            </w:r>
            <w:r/>
          </w:p>
        </w:tc>
        <w:tc>
          <w:tcPr>
            <w:tcBorders/>
            <w:tcW w:w="396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fetchWmsLayers</w:t>
            </w:r>
            <w:r/>
          </w:p>
        </w:tc>
      </w:tr>
      <w:tr>
        <w:trPr/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Constante módulo</w:t>
            </w:r>
            <w:r/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UPPER_SNAKE_CASE</w:t>
            </w:r>
            <w:r/>
          </w:p>
        </w:tc>
        <w:tc>
          <w:tcPr>
            <w:tcBorders/>
            <w:tcW w:w="396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INITIAL_PARAMS</w:t>
            </w:r>
            <w:r/>
          </w:p>
        </w:tc>
      </w:tr>
      <w:tr>
        <w:trPr/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Carpeta dominio</w:t>
            </w:r>
            <w:r/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igual al backend</w:t>
            </w:r>
            <w:r/>
          </w:p>
        </w:tc>
        <w:tc>
          <w:tcPr>
            <w:tcBorders/>
            <w:tcW w:w="396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domains/detection/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55"/>
        <w:pBdr/>
        <w:spacing/>
        <w:ind/>
        <w:rPr/>
      </w:pPr>
      <w:r>
        <w:rPr>
          <w:color w:val="1e3a5f"/>
        </w:rPr>
        <w:t xml:space="preserve">6.5 Navegación y permisos UI</w:t>
      </w:r>
      <w:r/>
    </w:p>
    <w:p>
      <w:pPr>
        <w:pBdr/>
        <w:spacing w:after="160"/>
        <w:ind/>
        <w:rPr/>
      </w:pPr>
      <w:r>
        <w:rPr>
          <w:rFonts w:ascii="Calibri" w:hAnsi="Calibri" w:eastAsia="Calibri"/>
        </w:rPr>
        <w:t xml:space="preserve">La fuente única del menú es src/shared/nav/navConfig.js (NAV_SECTIONS). ModuleGuard + puedeVerModulo ocultan y bloquean rutas sin permiso (códigos tipo detection.view / detection.edit).</w:t>
      </w:r>
      <w:r/>
    </w:p>
    <w:p>
      <w:pPr>
        <w:pStyle w:val="654"/>
        <w:pBdr/>
        <w:spacing/>
        <w:ind/>
        <w:rPr/>
      </w:pPr>
      <w:r>
        <w:rPr>
          <w:color w:val="1e3a5f"/>
        </w:rPr>
        <w:t xml:space="preserve">7. Aplicaciones móviles — convenciones y dónde crear el backend</w:t>
      </w:r>
      <w:r/>
    </w:p>
    <w:p>
      <w:pPr>
        <w:pBdr/>
        <w:spacing w:after="160"/>
        <w:ind/>
        <w:rPr/>
      </w:pPr>
      <w:r>
        <w:rPr>
          <w:rFonts w:ascii="Calibri" w:hAnsi="Calibri" w:eastAsia="Calibri"/>
        </w:rPr>
        <w:t xml:space="preserve">El ERP no es solo web. Hay (y habrá) clientes móviles que alimentan o consultan los mismos dominios de negocio. Esta sección define dónde vive el código de la app, dónde se crea su API y qué reglas deben seguir para no romper el monolito modular.</w:t>
      </w:r>
      <w:r/>
    </w:p>
    <w:p>
      <w:pPr>
        <w:pStyle w:val="655"/>
        <w:pBdr/>
        <w:spacing/>
        <w:ind/>
        <w:rPr/>
      </w:pPr>
      <w:r>
        <w:rPr>
          <w:color w:val="1e3a5f"/>
        </w:rPr>
        <w:t xml:space="preserve">7.1 Principio rector: un solo backend de negocio</w:t>
      </w:r>
      <w:r/>
    </w:p>
    <w:p>
      <w:pPr>
        <w:pBdr/>
        <w:spacing w:after="160"/>
        <w:ind/>
        <w:rPr/>
      </w:pPr>
      <w:r>
        <w:rPr>
          <w:rFonts w:ascii="Calibri" w:hAnsi="Calibri" w:eastAsia="Calibri"/>
        </w:rPr>
        <w:t xml:space="preserve">La API de negocio para móvil es el mismo idec-erp-back. No se crea un microservicio nuevo “porque es móvil”, salvo decisión explícita de arquitectura documentada aquí.</w:t>
      </w:r>
      <w:r/>
    </w:p>
    <w:tbl>
      <w:tblPr>
        <w:tblStyle w:val="718"/>
        <w:tblW w:w="0" w:type="auto"/>
        <w:tblBorders/>
        <w:tblLook w:val="04A0" w:firstRow="1" w:lastRow="0" w:firstColumn="1" w:lastColumn="0" w:noHBand="0" w:noVBand="1"/>
      </w:tblPr>
      <w:tblGrid>
        <w:gridCol w:w="1984"/>
        <w:gridCol w:w="3685"/>
        <w:gridCol w:w="3685"/>
      </w:tblGrid>
      <w:tr>
        <w:trPr/>
        <w:tc>
          <w:tcPr>
            <w:shd w:val="clear" w:color="auto" w:fill="1e3a5f"/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Qué</w:t>
            </w:r>
            <w:r/>
          </w:p>
        </w:tc>
        <w:tc>
          <w:tcPr>
            <w:shd w:val="clear" w:color="auto" w:fill="1e3a5f"/>
            <w:tcBorders/>
            <w:tcW w:w="36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Dónde se crea</w:t>
            </w:r>
            <w:r/>
          </w:p>
        </w:tc>
        <w:tc>
          <w:tcPr>
            <w:shd w:val="clear" w:color="auto" w:fill="1e3a5f"/>
            <w:tcBorders/>
            <w:tcW w:w="36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Qué no hacer</w:t>
            </w:r>
            <w:r/>
          </w:p>
        </w:tc>
      </w:tr>
      <w:tr>
        <w:trPr/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App nativa (UI móvil)</w:t>
            </w:r>
            <w:r/>
          </w:p>
        </w:tc>
        <w:tc>
          <w:tcPr>
            <w:tcBorders/>
            <w:tcW w:w="36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Repositorio propio (Flutter/Kotlin/Swift…)</w:t>
            </w:r>
            <w:r/>
          </w:p>
        </w:tc>
        <w:tc>
          <w:tcPr>
            <w:tcBorders/>
            <w:tcW w:w="36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No meter el proyecto móvil dentro de idec-erp-front ni del detector</w:t>
            </w:r>
            <w:r/>
          </w:p>
        </w:tc>
      </w:tr>
      <w:tr>
        <w:trPr/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Endpoints / casos de uso</w:t>
            </w:r>
            <w:r/>
          </w:p>
        </w:tc>
        <w:tc>
          <w:tcPr>
            <w:tcBorders/>
            <w:tcW w:w="36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idec-erp-back → app/domains/&lt;dominio&gt;/…</w:t>
            </w:r>
            <w:r/>
          </w:p>
        </w:tc>
        <w:tc>
          <w:tcPr>
            <w:tcBorders/>
            <w:tcW w:w="36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No levantar un FastAPI aparte en otro puerto “solo para el celular”</w:t>
            </w:r>
            <w:r/>
          </w:p>
        </w:tc>
      </w:tr>
      <w:tr>
        <w:trPr/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Pantallas web del mismo flujo</w:t>
            </w:r>
            <w:r/>
          </w:p>
        </w:tc>
        <w:tc>
          <w:tcPr>
            <w:tcBorders/>
            <w:tcW w:w="36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idec-erp-front → src/domains/&lt;dominio&gt;/…</w:t>
            </w:r>
            <w:r/>
          </w:p>
        </w:tc>
        <w:tc>
          <w:tcPr>
            <w:tcBorders/>
            <w:tcW w:w="36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No duplicar reglas de negocio solo en la app móvil</w:t>
            </w:r>
            <w:r/>
          </w:p>
        </w:tc>
      </w:tr>
      <w:tr>
        <w:trPr/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Tablas / schemas</w:t>
            </w:r>
            <w:r/>
          </w:p>
        </w:tc>
        <w:tc>
          <w:tcPr>
            <w:tcBorders/>
            <w:tcW w:w="36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PostgreSQL idec_erp (mismo que web)</w:t>
            </w:r>
            <w:r/>
          </w:p>
        </w:tc>
        <w:tc>
          <w:tcPr>
            <w:tcBorders/>
            <w:tcW w:w="36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No usar SQLite local como fuente de verdad de negocio</w:t>
            </w:r>
            <w:r/>
          </w:p>
        </w:tc>
      </w:tr>
      <w:tr>
        <w:trPr/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Login / token</w:t>
            </w:r>
            <w:r/>
          </w:p>
        </w:tc>
        <w:tc>
          <w:tcPr>
            <w:tcBorders/>
            <w:tcW w:w="36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Keycloak vía POST /api/login (mismo flujo)</w:t>
            </w:r>
            <w:r/>
          </w:p>
        </w:tc>
        <w:tc>
          <w:tcPr>
            <w:tcBorders/>
            <w:tcW w:w="36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No inventar auth propia ni guardar contraseñas en claro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rFonts w:ascii="Calibri" w:hAnsi="Calibri" w:eastAsia="Calibri"/>
          <w:b/>
          <w:color w:val="92400e"/>
          <w:sz w:val="20"/>
        </w:rPr>
        <w:t xml:space="preserve">Nota: </w:t>
      </w:r>
      <w:r>
        <w:rPr>
          <w:rFonts w:ascii="Calibri" w:hAnsi="Calibri" w:eastAsia="Calibri"/>
          <w:color w:val="78350f"/>
          <w:sz w:val="20"/>
        </w:rPr>
        <w:t xml:space="preserve">Si el celular solo captura un insumo (foto, GPS, firma) y el funcionario termin</w:t>
      </w:r>
      <w:r>
        <w:rPr>
          <w:rFonts w:ascii="Calibri" w:hAnsi="Calibri" w:eastAsia="Calibri"/>
          <w:color w:val="78350f"/>
          <w:sz w:val="20"/>
        </w:rPr>
        <w:t xml:space="preserve">a el trámite en la web, el backend del dominio web ya existente se extiende (ejemplo real: geoextraction /captures). Si el celular es el canal principal de un módulo nuevo, se crea un dominio nuevo completo en back + front web (si aplica) + repo de la app.</w:t>
      </w:r>
      <w:r/>
    </w:p>
    <w:p>
      <w:pPr>
        <w:pStyle w:val="655"/>
        <w:pBdr/>
        <w:spacing/>
        <w:ind/>
        <w:rPr/>
      </w:pPr>
      <w:r>
        <w:rPr>
          <w:color w:val="1e3a5f"/>
        </w:rPr>
        <w:t xml:space="preserve">7.2 Dónde crear el backend de una feature móvil (paso a paso)</w:t>
      </w:r>
      <w:r/>
    </w:p>
    <w:p>
      <w:pPr>
        <w:pBdr/>
        <w:spacing w:after="160"/>
        <w:ind/>
        <w:rPr/>
      </w:pPr>
      <w:r>
        <w:rPr>
          <w:rFonts w:ascii="Calibri" w:hAnsi="Calibri" w:eastAsia="Calibri"/>
          <w:b/>
        </w:rPr>
        <w:t xml:space="preserve">Orden obligatorio: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1) Definir el dominio de negocio (¿amplía uno existente o es dominio nuevo?).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2) Diseñar tablas en idec_erp (inglés en DDL nuevo) + permisos RBAC dominio.accion.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3) En idec-erp-back, dentro de app/domains/&lt;dominio&gt;/: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     - domain/: entities, ports, exceptions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     - application/use_cases/: orquestación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     - infrastructure/: SQL/adapters/WebSocket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     - presentation/endpoints/: rutas HTTP/WS en inglés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4) Registrar el router en app/registry.py (o el router del dominio si ya está registrado).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5) Si hay pantalla web hermana: src/domains/&lt;dominio&gt;/ en idec-erp-front (api, pages, components, endpoints.config.js).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6) En el repo de la app móvil: solo cliente HTTP/WS contra /api/... con Bearer JWT.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7) Documentar paths y payloads en el PR y, si es estable, actualizar esta guía.</w:t>
      </w:r>
      <w:r/>
    </w:p>
    <w:p>
      <w:pPr>
        <w:pBdr/>
        <w:spacing w:after="160" w:before="80"/>
        <w:ind w:left="170"/>
        <w:rPr/>
      </w:pPr>
      <w:r>
        <w:rPr>
          <w:rFonts w:ascii="Consolas" w:hAnsi="Consolas" w:eastAsia="Consolas"/>
          <w:color w:val="1e293b"/>
          <w:sz w:val="18"/>
        </w:rPr>
        <w:t xml:space="preserve"># Ejemplo — capturas móviles de geoextracción (ya en producción de código)</w:t>
      </w:r>
      <w:r>
        <w:rPr>
          <w:rFonts w:ascii="Consolas" w:hAnsi="Consolas" w:eastAsia="Consolas"/>
          <w:color w:val="1e293b"/>
          <w:sz w:val="18"/>
        </w:rPr>
        <w:br/>
        <w:t xml:space="preserve">idec-erp-back/app/domains/geoextraction/</w:t>
      </w:r>
      <w:r>
        <w:rPr>
          <w:rFonts w:ascii="Consolas" w:hAnsi="Consolas" w:eastAsia="Consolas"/>
          <w:color w:val="1e293b"/>
          <w:sz w:val="18"/>
        </w:rPr>
        <w:br/>
        <w:t xml:space="preserve">  presentation/endpoints/captures.py     → /api/geoextraction/captures</w:t>
      </w:r>
      <w:r>
        <w:rPr>
          <w:rFonts w:ascii="Consolas" w:hAnsi="Consolas" w:eastAsia="Consolas"/>
          <w:color w:val="1e293b"/>
          <w:sz w:val="18"/>
        </w:rPr>
        <w:br/>
        <w:t xml:space="preserve">  application/use_cases/create_capture_use_case.py</w:t>
      </w:r>
      <w:r>
        <w:rPr>
          <w:rFonts w:ascii="Consolas" w:hAnsi="Consolas" w:eastAsia="Consolas"/>
          <w:color w:val="1e293b"/>
          <w:sz w:val="18"/>
        </w:rPr>
        <w:br/>
        <w:t xml:space="preserve">  infrastructure/sql_capture_store.py</w:t>
      </w:r>
      <w:r>
        <w:rPr>
          <w:rFonts w:ascii="Consolas" w:hAnsi="Consolas" w:eastAsia="Consolas"/>
          <w:color w:val="1e293b"/>
          <w:sz w:val="18"/>
        </w:rPr>
        <w:br/>
        <w:t xml:space="preserve">  infrastructure/ws_connection_manager.py</w:t>
      </w:r>
      <w:r>
        <w:rPr>
          <w:rFonts w:ascii="Consolas" w:hAnsi="Consolas" w:eastAsia="Consolas"/>
          <w:color w:val="1e293b"/>
          <w:sz w:val="18"/>
        </w:rPr>
        <w:br/>
      </w:r>
      <w:r>
        <w:rPr>
          <w:rFonts w:ascii="Consolas" w:hAnsi="Consolas" w:eastAsia="Consolas"/>
          <w:color w:val="1e293b"/>
          <w:sz w:val="18"/>
        </w:rPr>
        <w:br/>
        <w:t xml:space="preserve">idec-erp-front/src/domains/geoextraction/</w:t>
      </w:r>
      <w:r>
        <w:rPr>
          <w:rFonts w:ascii="Consolas" w:hAnsi="Consolas" w:eastAsia="Consolas"/>
          <w:color w:val="1e293b"/>
          <w:sz w:val="18"/>
        </w:rPr>
        <w:br/>
        <w:t xml:space="preserve">  components/MobileCaptures.jsx          → UI web que consume las fotos</w:t>
      </w:r>
      <w:r>
        <w:rPr>
          <w:rFonts w:ascii="Consolas" w:hAnsi="Consolas" w:eastAsia="Consolas"/>
          <w:color w:val="1e293b"/>
          <w:sz w:val="18"/>
        </w:rPr>
        <w:br/>
        <w:t xml:space="preserve">  utils/useCapturesUpdates.js            → WebSocket / refresh</w:t>
      </w:r>
      <w:r>
        <w:rPr>
          <w:rFonts w:ascii="Consolas" w:hAnsi="Consolas" w:eastAsia="Consolas"/>
          <w:color w:val="1e293b"/>
          <w:sz w:val="18"/>
        </w:rPr>
        <w:br/>
        <w:t xml:space="preserve">  api/geoextraction.api.js               → listCaptures / captureBlob / discardCapture</w:t>
      </w:r>
      <w:r>
        <w:rPr>
          <w:rFonts w:ascii="Consolas" w:hAnsi="Consolas" w:eastAsia="Consolas"/>
          <w:color w:val="1e293b"/>
          <w:sz w:val="18"/>
        </w:rPr>
        <w:br/>
      </w:r>
      <w:r>
        <w:rPr>
          <w:rFonts w:ascii="Consolas" w:hAnsi="Consolas" w:eastAsia="Consolas"/>
          <w:color w:val="1e293b"/>
          <w:sz w:val="18"/>
        </w:rPr>
        <w:br/>
        <w:t xml:space="preserve">App móvil (repo aparte)</w:t>
      </w:r>
      <w:r>
        <w:rPr>
          <w:rFonts w:ascii="Consolas" w:hAnsi="Consolas" w:eastAsia="Consolas"/>
          <w:color w:val="1e293b"/>
          <w:sz w:val="18"/>
        </w:rPr>
        <w:br/>
        <w:t xml:space="preserve">  POST /api/geoextraction/captures       → multipart imagen + Bearer</w:t>
      </w:r>
      <w:r>
        <w:rPr>
          <w:rFonts w:ascii="Consolas" w:hAnsi="Consolas" w:eastAsia="Consolas"/>
          <w:color w:val="1e293b"/>
          <w:sz w:val="18"/>
        </w:rPr>
        <w:br/>
        <w:t xml:space="preserve">  (no implementa OCR ni shapefile: eso sigue en la web)</w:t>
      </w:r>
      <w:r/>
    </w:p>
    <w:p>
      <w:pPr>
        <w:pStyle w:val="655"/>
        <w:pBdr/>
        <w:spacing/>
        <w:ind/>
        <w:rPr/>
      </w:pPr>
      <w:r>
        <w:rPr>
          <w:color w:val="1e3a5f"/>
        </w:rPr>
        <w:t xml:space="preserve">7.3 API de capturas móviles (referencia actual)</w:t>
      </w:r>
      <w:r/>
    </w:p>
    <w:tbl>
      <w:tblPr>
        <w:tblStyle w:val="718"/>
        <w:tblW w:w="0" w:type="auto"/>
        <w:tblBorders/>
        <w:tblLook w:val="04A0" w:firstRow="1" w:lastRow="0" w:firstColumn="1" w:lastColumn="0" w:noHBand="0" w:noVBand="1"/>
      </w:tblPr>
      <w:tblGrid>
        <w:gridCol w:w="1247"/>
        <w:gridCol w:w="4252"/>
        <w:gridCol w:w="3855"/>
      </w:tblGrid>
      <w:tr>
        <w:trPr/>
        <w:tc>
          <w:tcPr>
            <w:shd w:val="clear" w:color="auto" w:fill="1e3a5f"/>
            <w:tcBorders/>
            <w:tcW w:w="124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Método</w:t>
            </w:r>
            <w:r/>
          </w:p>
        </w:tc>
        <w:tc>
          <w:tcPr>
            <w:shd w:val="clear" w:color="auto" w:fill="1e3a5f"/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Ruta</w:t>
            </w:r>
            <w:r/>
          </w:p>
        </w:tc>
        <w:tc>
          <w:tcPr>
            <w:shd w:val="clear" w:color="auto" w:fill="1e3a5f"/>
            <w:tcBorders/>
            <w:tcW w:w="385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Uso</w:t>
            </w:r>
            <w:r/>
          </w:p>
        </w:tc>
      </w:tr>
      <w:tr>
        <w:trPr/>
        <w:tc>
          <w:tcPr>
            <w:tcBorders/>
            <w:tcW w:w="124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POST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/api/geoextraction/captures</w:t>
            </w:r>
            <w:r/>
          </w:p>
        </w:tc>
        <w:tc>
          <w:tcPr>
            <w:tcBorders/>
            <w:tcW w:w="385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App móvil sube la foto (multipart)</w:t>
            </w:r>
            <w:r/>
          </w:p>
        </w:tc>
      </w:tr>
      <w:tr>
        <w:trPr/>
        <w:tc>
          <w:tcPr>
            <w:tcBorders/>
            <w:tcW w:w="124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GET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/api/geoextraction/captures</w:t>
            </w:r>
            <w:r/>
          </w:p>
        </w:tc>
        <w:tc>
          <w:tcPr>
            <w:tcBorders/>
            <w:tcW w:w="385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Web lista capturas pendientes del usuario</w:t>
            </w:r>
            <w:r/>
          </w:p>
        </w:tc>
      </w:tr>
      <w:tr>
        <w:trPr/>
        <w:tc>
          <w:tcPr>
            <w:tcBorders/>
            <w:tcW w:w="124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GET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/api/geoextraction/captures/{id}/image</w:t>
            </w:r>
            <w:r/>
          </w:p>
        </w:tc>
        <w:tc>
          <w:tcPr>
            <w:tcBorders/>
            <w:tcW w:w="385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Web descarga bytes (Blob; no &lt;img src&gt;)</w:t>
            </w:r>
            <w:r/>
          </w:p>
        </w:tc>
      </w:tr>
      <w:tr>
        <w:trPr/>
        <w:tc>
          <w:tcPr>
            <w:tcBorders/>
            <w:tcW w:w="124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DELETE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/api/geoextraction/captures/{id}</w:t>
            </w:r>
            <w:r/>
          </w:p>
        </w:tc>
        <w:tc>
          <w:tcPr>
            <w:tcBorders/>
            <w:tcW w:w="385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Web descarta tras cargarla al visor</w:t>
            </w:r>
            <w:r/>
          </w:p>
        </w:tc>
      </w:tr>
      <w:tr>
        <w:trPr/>
        <w:tc>
          <w:tcPr>
            <w:tcBorders/>
            <w:tcW w:w="124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WS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/api/geoextraction/captures/ws</w:t>
            </w:r>
            <w:r/>
          </w:p>
        </w:tc>
        <w:tc>
          <w:tcPr>
            <w:tcBorders/>
            <w:tcW w:w="385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Aviso de cambio a la UI web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160"/>
        <w:ind/>
        <w:rPr/>
      </w:pPr>
      <w:r>
        <w:rPr>
          <w:rFonts w:ascii="Calibri" w:hAnsi="Calibri" w:eastAsia="Calibri"/>
          <w:i/>
        </w:rPr>
        <w:t xml:space="preserve">Tabla </w:t>
      </w:r>
      <w:r>
        <w:rPr>
          <w:rFonts w:ascii="Calibri" w:hAnsi="Calibri" w:eastAsia="Calibri"/>
          <w:i/>
        </w:rPr>
        <w:t xml:space="preserve">física actual de capturas: geoextraccion_capturas (legado de nombre; columnas id_captura, user_sub, mime, imagen, fecha_creacion). Código Python/JS y rutas HTTP en inglés. Nuevas tablas de este flujo deben nacer ya en inglés (p.ej. geoextraction_captures).</w:t>
      </w:r>
      <w:r/>
    </w:p>
    <w:p>
      <w:pPr>
        <w:pStyle w:val="655"/>
        <w:pBdr/>
        <w:spacing/>
        <w:ind/>
        <w:rPr/>
      </w:pPr>
      <w:r>
        <w:rPr>
          <w:color w:val="1e3a5f"/>
        </w:rPr>
        <w:t xml:space="preserve">7.4 Convenciones específicas para apps móviles</w:t>
      </w:r>
      <w:r/>
    </w:p>
    <w:p>
      <w:pPr>
        <w:pBdr/>
        <w:spacing w:after="160"/>
        <w:ind/>
        <w:rPr/>
      </w:pPr>
      <w:r>
        <w:rPr>
          <w:rFonts w:ascii="Calibri" w:hAnsi="Calibri" w:eastAsia="Calibri"/>
          <w:b/>
        </w:rPr>
        <w:t xml:space="preserve">Idioma y código (igual que web):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Identificadores, paquetes, comentarios técnicos y nombres de archivos del cliente: inglés.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Textos visibles al funcionario en la app: español formal (usted).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JSON de API: campos en inglés cuando se diseñan contratos nuevos; respetar campos legacy ya publicados hasta una migración versionada.</w:t>
      </w:r>
      <w:r/>
    </w:p>
    <w:p>
      <w:pPr>
        <w:pBdr/>
        <w:spacing w:after="160"/>
        <w:ind/>
        <w:rPr/>
      </w:pPr>
      <w:r>
        <w:rPr>
          <w:rFonts w:ascii="Calibri" w:hAnsi="Calibri" w:eastAsia="Calibri"/>
          <w:b/>
        </w:rPr>
        <w:t xml:space="preserve">Seguridad y red: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Solo HTTPS hacia el host público del ERP Back (mismo VITE_API_URL / base URL de producción).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Guardar access/refresh token en almacenamiento seguro del SO (Keychain / Keystore / flutter_secure_storage).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Adjuntar Authorization: Bearer en cada llamada; refrescar ante 401 como el httpClient web.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Nunca embeber client_secret de Keycloak en la app (usar el mismo flujo público de login del ERP).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No llamar al motor GPU :8100 ni a WMS internos desde el celular; todo pasa por /api/...</w:t>
      </w:r>
      <w:r/>
    </w:p>
    <w:p>
      <w:pPr>
        <w:pBdr/>
        <w:spacing w:after="160"/>
        <w:ind/>
        <w:rPr/>
      </w:pPr>
      <w:r>
        <w:rPr>
          <w:rFonts w:ascii="Calibri" w:hAnsi="Calibri" w:eastAsia="Calibri"/>
          <w:b/>
        </w:rPr>
        <w:t xml:space="preserve">Diseño de features: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La app móvil hace lo mínimo de campo (foto, geolocalización, firma, cola offline corta).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Reglas de negocio, OCR, GIS pesado y reportes viven en backend + web.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Si hace falta tiempo real hacia la web, preferir WebSocket en el dominio (como CapturesConnectionManager) frente a polling agresivo.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Offline: cola local efímera con reintento; al sincronizar, el servidor es la verdad.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Versionar el contrato (header X-App-Version o path /api/... cuando haya breaking change).</w:t>
      </w:r>
      <w:r/>
    </w:p>
    <w:p>
      <w:pPr>
        <w:pStyle w:val="655"/>
        <w:pBdr/>
        <w:spacing/>
        <w:ind/>
        <w:rPr/>
      </w:pPr>
      <w:r>
        <w:rPr>
          <w:color w:val="1e3a5f"/>
        </w:rPr>
        <w:t xml:space="preserve">7.5 Resoluciones y otros módulos con app móvil</w:t>
      </w:r>
      <w:r/>
    </w:p>
    <w:p>
      <w:pPr>
        <w:pBdr/>
        <w:spacing w:after="160"/>
        <w:ind/>
        <w:rPr/>
      </w:pPr>
      <w:r>
        <w:rPr>
          <w:rFonts w:ascii="Calibri" w:hAnsi="Calibri" w:eastAsia="Calibri"/>
        </w:rPr>
        <w:t xml:space="preserve">El dominio resolutions ya persiste en schema PostgreS</w:t>
      </w:r>
      <w:r>
        <w:rPr>
          <w:rFonts w:ascii="Calibri" w:hAnsi="Calibri" w:eastAsia="Calibri"/>
        </w:rPr>
        <w:t xml:space="preserve">QL `resolutions` con datos cargados también desde app móvil. Regla: el ORM del back describe el esquema existente; no se recrea con create_all. Cualquier cambio de columnas se coordina con el equipo de la app móvil y se documenta en script SQL + esta guía.</w:t>
      </w:r>
      <w:r/>
    </w:p>
    <w:p>
      <w:pPr>
        <w:pBdr/>
        <w:spacing w:after="160"/>
        <w:ind/>
        <w:rPr/>
      </w:pPr>
      <w:r>
        <w:rPr>
          <w:rFonts w:ascii="Calibri" w:hAnsi="Calibri" w:eastAsia="Calibri"/>
          <w:b/>
        </w:rPr>
        <w:t xml:space="preserve">Checklist antes de cambiar un contrato usado por móvil: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¿Hay clientes móviles en producción usando este path/campo?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¿El cambio es aditivo (campo opcional nuevo) o rompe el contrato?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¿Se actualizó la app móvil en el mismo release o hay ventana de compatibilidad?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¿Permisos RBAC y mensajes de error al usuario siguen en español?</w:t>
      </w:r>
      <w:r/>
    </w:p>
    <w:p>
      <w:pPr>
        <w:pStyle w:val="655"/>
        <w:pBdr/>
        <w:spacing/>
        <w:ind/>
        <w:rPr/>
      </w:pPr>
      <w:r>
        <w:rPr>
          <w:color w:val="1e3a5f"/>
        </w:rPr>
        <w:t xml:space="preserve">7.6 Anti-patrones móviles</w:t>
      </w:r>
      <w:r/>
    </w:p>
    <w:tbl>
      <w:tblPr>
        <w:tblStyle w:val="718"/>
        <w:tblW w:w="0" w:type="auto"/>
        <w:tblBorders/>
        <w:tblLook w:val="04A0" w:firstRow="1" w:lastRow="0" w:firstColumn="1" w:lastColumn="0" w:noHBand="0" w:noVBand="1"/>
      </w:tblPr>
      <w:tblGrid>
        <w:gridCol w:w="4252"/>
        <w:gridCol w:w="5102"/>
      </w:tblGrid>
      <w:tr>
        <w:trPr/>
        <w:tc>
          <w:tcPr>
            <w:shd w:val="clear" w:color="auto" w:fill="1e3a5f"/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Anti-patrón</w:t>
            </w:r>
            <w:r/>
          </w:p>
        </w:tc>
        <w:tc>
          <w:tcPr>
            <w:shd w:val="clear" w:color="auto" w:fill="1e3a5f"/>
            <w:tcBorders/>
            <w:tcW w:w="51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Hacer en su lugar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Crear backend-mobile/ o api-movil/ aparte “por velocidad”</w:t>
            </w:r>
            <w:r/>
          </w:p>
        </w:tc>
        <w:tc>
          <w:tcPr>
            <w:tcBorders/>
            <w:tcW w:w="51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Extender el dominio en idec-erp-back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Duplicar lógica OCR/shapefile dentro de la app</w:t>
            </w:r>
            <w:r/>
          </w:p>
        </w:tc>
        <w:tc>
          <w:tcPr>
            <w:tcBorders/>
            <w:tcW w:w="51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Subir insumo y completar en web/backend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Hablar directo a PostgreSQL o a :8100 desde el celular</w:t>
            </w:r>
            <w:r/>
          </w:p>
        </w:tc>
        <w:tc>
          <w:tcPr>
            <w:tcBorders/>
            <w:tcW w:w="51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Solo /api del ERP Back con JWT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Meter el proyecto Flutter dentro de idec-erp-front</w:t>
            </w:r>
            <w:r/>
          </w:p>
        </w:tc>
        <w:tc>
          <w:tcPr>
            <w:tcBorders/>
            <w:tcW w:w="51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Repo GitLab propio + consumo de la API publicada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Rutas nuevas en español (/api/capturas)</w:t>
            </w:r>
            <w:r/>
          </w:p>
        </w:tc>
        <w:tc>
          <w:tcPr>
            <w:tcBorders/>
            <w:tcW w:w="51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/api/&lt;domain&gt;/... en inglés (/api/geoextraction/captures)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54"/>
        <w:pBdr/>
        <w:spacing/>
        <w:ind/>
        <w:rPr/>
      </w:pPr>
      <w:r>
        <w:rPr>
          <w:color w:val="1e3a5f"/>
        </w:rPr>
        <w:t xml:space="preserve">8</w:t>
      </w:r>
      <w:r>
        <w:rPr>
          <w:color w:val="1e3a5f"/>
        </w:rPr>
        <w:t xml:space="preserve">. Autenticación, autorización y permisos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Login (web y móvil): POST /api/login → tokens Keycloak.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Perfil/permisos: GET /api/private (AuthProvider en front; mismo endpoint para móvil).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httpClient / cliente móvil adjunta Bearer y refresca en 401.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Endpoints de negocio: Depends(require_permission("dominio.accion")).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No autorizar por roles de Keycloak en la lógica de negocio del ERP.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Contratos públicos de seguridad: app/domains/security/contracts/.</w:t>
      </w:r>
      <w:r/>
    </w:p>
    <w:tbl>
      <w:tblPr>
        <w:tblStyle w:val="718"/>
        <w:tblW w:w="0" w:type="auto"/>
        <w:tblBorders/>
        <w:tblLook w:val="04A0" w:firstRow="1" w:lastRow="0" w:firstColumn="1" w:lastColumn="0" w:noHBand="0" w:noVBand="1"/>
      </w:tblPr>
      <w:tblGrid>
        <w:gridCol w:w="2835"/>
        <w:gridCol w:w="6520"/>
      </w:tblGrid>
      <w:tr>
        <w:trPr/>
        <w:tc>
          <w:tcPr>
            <w:shd w:val="clear" w:color="auto" w:fill="1e3a5f"/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Permiso (ejemplo)</w:t>
            </w:r>
            <w:r/>
          </w:p>
        </w:tc>
        <w:tc>
          <w:tcPr>
            <w:shd w:val="clear" w:color="auto" w:fill="1e3a5f"/>
            <w:tcBorders/>
            <w:tcW w:w="65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Uso</w:t>
            </w:r>
            <w:r/>
          </w:p>
        </w:tc>
      </w:tr>
      <w:tr>
        <w:trPr/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detection.view</w:t>
            </w:r>
            <w:r/>
          </w:p>
        </w:tc>
        <w:tc>
          <w:tcPr>
            <w:tcBorders/>
            <w:tcW w:w="65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Consultar salud, progreso, resultado, SISCAT</w:t>
            </w:r>
            <w:r/>
          </w:p>
        </w:tc>
      </w:tr>
      <w:tr>
        <w:trPr/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detection.edit</w:t>
            </w:r>
            <w:r/>
          </w:p>
        </w:tc>
        <w:tc>
          <w:tcPr>
            <w:tcBorders/>
            <w:tcW w:w="65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Iniciar job, cancelar, aplicar alineación</w:t>
            </w:r>
            <w:r/>
          </w:p>
        </w:tc>
      </w:tr>
      <w:tr>
        <w:trPr/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security.*</w:t>
            </w:r>
            <w:r/>
          </w:p>
        </w:tc>
        <w:tc>
          <w:tcPr>
            <w:tcBorders/>
            <w:tcW w:w="65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Administración de usuarios/roles</w:t>
            </w:r>
            <w:r/>
          </w:p>
        </w:tc>
      </w:tr>
      <w:tr>
        <w:trPr/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geoextraction.*</w:t>
            </w:r>
            <w:r/>
          </w:p>
        </w:tc>
        <w:tc>
          <w:tcPr>
            <w:tcBorders/>
            <w:tcW w:w="65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Shapefiles y capturas móviles del dominio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54"/>
        <w:pBdr/>
        <w:spacing/>
        <w:ind/>
        <w:rPr/>
      </w:pPr>
      <w:r>
        <w:rPr>
          <w:color w:val="1e3a5f"/>
        </w:rPr>
        <w:t xml:space="preserve">9. Comunicación HTTP entre capas</w:t>
      </w:r>
      <w:r/>
    </w:p>
    <w:tbl>
      <w:tblPr>
        <w:tblStyle w:val="718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6236"/>
      </w:tblGrid>
      <w:tr>
        <w:trPr/>
        <w:tc>
          <w:tcPr>
            <w:shd w:val="clear" w:color="auto" w:fill="1e3a5f"/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Archivo front</w:t>
            </w:r>
            <w:r/>
          </w:p>
        </w:tc>
        <w:tc>
          <w:tcPr>
            <w:shd w:val="clear" w:color="auto" w:fill="1e3a5f"/>
            <w:tcBorders/>
            <w:tcW w:w="623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Responsabilidad</w:t>
            </w:r>
            <w:r/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core/config/env.config.js</w:t>
            </w:r>
            <w:r/>
          </w:p>
        </w:tc>
        <w:tc>
          <w:tcPr>
            <w:tcBorders/>
            <w:tcW w:w="623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VITE_API_URL → base del ERP Back</w:t>
            </w:r>
            <w:r/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core/config/endpoints.config.js</w:t>
            </w:r>
            <w:r/>
          </w:p>
        </w:tc>
        <w:tc>
          <w:tcPr>
            <w:tcBorders/>
            <w:tcW w:w="623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Catálogo de paths (AUTH, DETECTION, GEOEXTRACTION, …)</w:t>
            </w:r>
            <w:r/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core/http/httpClient.js</w:t>
            </w:r>
            <w:r/>
          </w:p>
        </w:tc>
        <w:tc>
          <w:tcPr>
            <w:tcBorders/>
            <w:tcW w:w="623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Bearer, refresh, JSON/blob</w:t>
            </w:r>
            <w:r/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domains/*/api/*.api.js</w:t>
            </w:r>
            <w:r/>
          </w:p>
        </w:tc>
        <w:tc>
          <w:tcPr>
            <w:tcBorders/>
            <w:tcW w:w="623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Fachada por dominio</w:t>
            </w:r>
            <w:r/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App móvil (repo propio)</w:t>
            </w:r>
            <w:r/>
          </w:p>
        </w:tc>
        <w:tc>
          <w:tcPr>
            <w:tcBorders/>
            <w:tcW w:w="623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Cliente HTTP/WS equivalente; misma base URL /api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160"/>
        <w:ind/>
        <w:rPr/>
      </w:pPr>
      <w:r>
        <w:rPr>
          <w:rFonts w:ascii="Calibri" w:hAnsi="Calibri" w:eastAsia="Calibri"/>
        </w:rPr>
        <w:t xml:space="preserve">Regla: las páginas no hardcodean URLs absolutas del back. Siempre endpoints.config + httpClient (salvo integraciones externas documentadas, p.ej. VITE_OCR_API_URL). La app móvil usa la misma base URL publicada del ERP Back.</w:t>
      </w:r>
      <w:r/>
    </w:p>
    <w:p>
      <w:pPr>
        <w:pStyle w:val="654"/>
        <w:pBdr/>
        <w:spacing/>
        <w:ind/>
        <w:rPr/>
      </w:pPr>
      <w:r>
        <w:rPr>
          <w:color w:val="1e3a5f"/>
        </w:rPr>
        <w:t xml:space="preserve">10. Convenciones de nombres (código)</w:t>
      </w:r>
      <w:r/>
    </w:p>
    <w:p>
      <w:pPr>
        <w:pStyle w:val="655"/>
        <w:pBdr/>
        <w:spacing/>
        <w:ind/>
        <w:rPr/>
      </w:pPr>
      <w:r>
        <w:rPr>
          <w:color w:val="1e3a5f"/>
        </w:rPr>
        <w:t xml:space="preserve">10.1 Idioma (política oficial)</w:t>
      </w:r>
      <w:r/>
    </w:p>
    <w:p>
      <w:pPr>
        <w:pBdr/>
        <w:spacing w:after="160"/>
        <w:ind/>
        <w:rPr/>
      </w:pPr>
      <w:r>
        <w:rPr>
          <w:rFonts w:ascii="Calibri" w:hAnsi="Calibri" w:eastAsia="Calibri"/>
        </w:rPr>
        <w:t xml:space="preserve">Política del ERP (front + back): inglés para TODO lo interno del sistema; español solo para lo que ve o lee el funcionario de Cochabamba.</w:t>
      </w:r>
      <w:r/>
    </w:p>
    <w:p>
      <w:pPr>
        <w:pBdr/>
        <w:spacing w:after="160"/>
        <w:ind/>
        <w:rPr/>
      </w:pPr>
      <w:r>
        <w:rPr>
          <w:rFonts w:ascii="Calibri" w:hAnsi="Calibri" w:eastAsia="Calibri"/>
          <w:b/>
        </w:rPr>
        <w:t xml:space="preserve">En inglés (obligatorio):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Carpetas y paquetes de dominio: security, geoextraction, detection, resolutions.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Clases, funciones, variables, archivos y nombres de módulos.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Comentarios de código (# / // / /* */), docstrings, JSDoc y notas técnicas en PRs.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Rutas HTTP del ERP: /api/security/..., /api/detection/..., /api/resolutions/..., /api/geoextraction/...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Códigos de permiso: dominio.accion en inglés (detection.view, security.edit).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Atributos Python/JS del modelo de datos; columnas/tablas nuevas en inglés.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Ramas Git y mensajes de commit.</w:t>
      </w:r>
      <w:r/>
    </w:p>
    <w:p>
      <w:pPr>
        <w:pBdr/>
        <w:spacing/>
        <w:ind/>
        <w:rPr/>
      </w:pPr>
      <w:r>
        <w:rPr>
          <w:rFonts w:ascii="Calibri" w:hAnsi="Calibri" w:eastAsia="Calibri"/>
          <w:b/>
          <w:color w:val="92400e"/>
          <w:sz w:val="20"/>
        </w:rPr>
        <w:t xml:space="preserve">Nota: </w:t>
      </w:r>
      <w:r>
        <w:rPr>
          <w:rFonts w:ascii="Calibri" w:hAnsi="Calibri" w:eastAsia="Calibri"/>
          <w:color w:val="78350f"/>
          <w:sz w:val="20"/>
        </w:rPr>
        <w:t xml:space="preserve">Comentarios y docstrings SIEMPR</w:t>
      </w:r>
      <w:r>
        <w:rPr>
          <w:rFonts w:ascii="Calibri" w:hAnsi="Calibri" w:eastAsia="Calibri"/>
          <w:color w:val="78350f"/>
          <w:sz w:val="20"/>
        </w:rPr>
        <w:t xml:space="preserve">E en inglés, aunque el mensaje al usuario (toast, HTTP detail, label de UI) esté en español. No mezclar idiomas en el mismo bloque de comentario. Excepción: citas literales de texto de UI o de requisitos municipales dentro de un comentario, entre comillas.</w:t>
      </w:r>
      <w:r/>
    </w:p>
    <w:p>
      <w:pPr>
        <w:pBdr/>
        <w:spacing w:after="160"/>
        <w:ind/>
        <w:rPr/>
      </w:pPr>
      <w:r>
        <w:rPr>
          <w:rFonts w:ascii="Calibri" w:hAnsi="Calibri" w:eastAsia="Calibri"/>
          <w:b/>
        </w:rPr>
        <w:t xml:space="preserve">En español (obligatorio — usuario final):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Textos de interfaz (nav labels, botones, títulos, aria-labels) — formal “usted”.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Mensajes de error / detail HTTP orientados al usuario (toasts, formularios).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Contenido de negocio ya cargado (nombres de áreas municipales, etc.).</w:t>
      </w:r>
      <w:r/>
    </w:p>
    <w:p>
      <w:pPr>
        <w:pBdr/>
        <w:spacing w:after="160"/>
        <w:ind/>
        <w:rPr/>
      </w:pPr>
      <w:r>
        <w:rPr>
          <w:rFonts w:ascii="Calibri" w:hAnsi="Calibri" w:eastAsia="Calibri"/>
          <w:i/>
        </w:rPr>
        <w:t xml:space="preserve">Legado: la BD física `idec_erp` ya fue migrada a inglés (scripts/migrate_schema_to_english.py: users, systems, detection.campaigns, …). Nuevos objetos de esquema deben crearse en inglés. Ver LEGACY_SCHEMA_MAP.md.</w:t>
      </w:r>
      <w:r/>
    </w:p>
    <w:p>
      <w:pPr>
        <w:pStyle w:val="655"/>
        <w:pBdr/>
        <w:spacing/>
        <w:ind/>
        <w:rPr/>
      </w:pPr>
      <w:r>
        <w:rPr>
          <w:color w:val="1e3a5f"/>
        </w:rPr>
        <w:t xml:space="preserve">10.2 Casing (resumen)</w:t>
      </w:r>
      <w:r/>
    </w:p>
    <w:p>
      <w:pPr>
        <w:pBdr/>
        <w:spacing w:after="160"/>
        <w:ind/>
        <w:rPr/>
      </w:pPr>
      <w:r>
        <w:rPr>
          <w:rFonts w:ascii="Calibri" w:hAnsi="Calibri" w:eastAsia="Calibri"/>
          <w:i/>
        </w:rPr>
        <w:t xml:space="preserve">Backend Python — ver §5.4. Frontend JS/JSX — ver §6.4.</w:t>
      </w:r>
      <w:r/>
    </w:p>
    <w:p>
      <w:pPr>
        <w:pStyle w:val="654"/>
        <w:pBdr/>
        <w:spacing/>
        <w:ind/>
        <w:rPr/>
      </w:pPr>
      <w:r>
        <w:rPr>
          <w:color w:val="1e3a5f"/>
        </w:rPr>
        <w:t xml:space="preserve">11. Convenciones de Git</w:t>
      </w:r>
      <w:r/>
    </w:p>
    <w:p>
      <w:pPr>
        <w:pBdr/>
        <w:spacing w:after="160"/>
        <w:ind/>
        <w:rPr/>
      </w:pPr>
      <w:r>
        <w:rPr>
          <w:rFonts w:ascii="Calibri" w:hAnsi="Calibri" w:eastAsia="Calibri"/>
        </w:rPr>
        <w:t xml:space="preserve">Nombres de rama en inglés. Las ramas históricas en español no se renombran; toda rama nueva sigue el formato:</w:t>
      </w:r>
      <w:r/>
    </w:p>
    <w:p>
      <w:pPr>
        <w:pBdr/>
        <w:spacing w:after="160" w:before="80"/>
        <w:ind w:left="170"/>
        <w:rPr/>
      </w:pPr>
      <w:r>
        <w:rPr>
          <w:rFonts w:ascii="Consolas" w:hAnsi="Consolas" w:eastAsia="Consolas"/>
          <w:color w:val="1e293b"/>
          <w:sz w:val="18"/>
        </w:rPr>
        <w:t xml:space="preserve">&lt;tipo&gt;/&lt;descripcion-corta&gt;</w:t>
      </w:r>
      <w:r>
        <w:rPr>
          <w:rFonts w:ascii="Consolas" w:hAnsi="Consolas" w:eastAsia="Consolas"/>
          <w:color w:val="1e293b"/>
          <w:sz w:val="18"/>
        </w:rPr>
        <w:br/>
        <w:t xml:space="preserve">&lt;tipo&gt;/&lt;TICKET&gt;-&lt;descripcion-corta&gt;   # opcional con issue</w:t>
      </w:r>
      <w:r/>
    </w:p>
    <w:tbl>
      <w:tblPr>
        <w:tblStyle w:val="718"/>
        <w:tblW w:w="0" w:type="auto"/>
        <w:tblBorders/>
        <w:tblLook w:val="04A0" w:firstRow="1" w:lastRow="0" w:firstColumn="1" w:lastColumn="0" w:noHBand="0" w:noVBand="1"/>
      </w:tblPr>
      <w:tblGrid>
        <w:gridCol w:w="1701"/>
        <w:gridCol w:w="3402"/>
        <w:gridCol w:w="4252"/>
      </w:tblGrid>
      <w:tr>
        <w:trPr/>
        <w:tc>
          <w:tcPr>
            <w:shd w:val="clear" w:color="auto" w:fill="1e3a5f"/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Prefijo</w:t>
            </w:r>
            <w:r/>
          </w:p>
        </w:tc>
        <w:tc>
          <w:tcPr>
            <w:shd w:val="clear" w:color="auto" w:fill="1e3a5f"/>
            <w:tcBorders/>
            <w:tcW w:w="34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Uso</w:t>
            </w:r>
            <w:r/>
          </w:p>
        </w:tc>
        <w:tc>
          <w:tcPr>
            <w:shd w:val="clear" w:color="auto" w:fill="1e3a5f"/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Ejemplo</w:t>
            </w:r>
            <w:r/>
          </w:p>
        </w:tc>
      </w:tr>
      <w:tr>
        <w:trPr/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feature/</w:t>
            </w:r>
            <w:r/>
          </w:p>
        </w:tc>
        <w:tc>
          <w:tcPr>
            <w:tcBorders/>
            <w:tcW w:w="34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Nueva funcionalidad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feature/campaign-property-filter</w:t>
            </w:r>
            <w:r/>
          </w:p>
        </w:tc>
      </w:tr>
      <w:tr>
        <w:trPr/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fix/</w:t>
            </w:r>
            <w:r/>
          </w:p>
        </w:tc>
        <w:tc>
          <w:tcPr>
            <w:tcBorders/>
            <w:tcW w:w="34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Bug no crítico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fix/wms-layer-render</w:t>
            </w:r>
            <w:r/>
          </w:p>
        </w:tc>
      </w:tr>
      <w:tr>
        <w:trPr/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hotfix/</w:t>
            </w:r>
            <w:r/>
          </w:p>
        </w:tc>
        <w:tc>
          <w:tcPr>
            <w:tcBorders/>
            <w:tcW w:w="34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Urgente en producción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hotfix/auth-token-expiry</w:t>
            </w:r>
            <w:r/>
          </w:p>
        </w:tc>
      </w:tr>
      <w:tr>
        <w:trPr/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release/</w:t>
            </w:r>
            <w:r/>
          </w:p>
        </w:tc>
        <w:tc>
          <w:tcPr>
            <w:tcBorders/>
            <w:tcW w:w="34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Preparación de versión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release/1.4.0</w:t>
            </w:r>
            <w:r/>
          </w:p>
        </w:tc>
      </w:tr>
      <w:tr>
        <w:trPr/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refactor/</w:t>
            </w:r>
            <w:r/>
          </w:p>
        </w:tc>
        <w:tc>
          <w:tcPr>
            <w:tcBorders/>
            <w:tcW w:w="34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Estructura sin cambiar comportamiento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refactor/campaign-repository</w:t>
            </w:r>
            <w:r/>
          </w:p>
        </w:tc>
      </w:tr>
      <w:tr>
        <w:trPr/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chore/</w:t>
            </w:r>
            <w:r/>
          </w:p>
        </w:tc>
        <w:tc>
          <w:tcPr>
            <w:tcBorders/>
            <w:tcW w:w="34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Deps, tooling, config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chore/update-dependencies</w:t>
            </w:r>
            <w:r/>
          </w:p>
        </w:tc>
      </w:tr>
      <w:tr>
        <w:trPr/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docs/</w:t>
            </w:r>
            <w:r/>
          </w:p>
        </w:tc>
        <w:tc>
          <w:tcPr>
            <w:tcBorders/>
            <w:tcW w:w="34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Solo documentación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docs/database-conventions</w:t>
            </w:r>
            <w:r/>
          </w:p>
        </w:tc>
      </w:tr>
      <w:tr>
        <w:trPr/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test/</w:t>
            </w:r>
            <w:r/>
          </w:p>
        </w:tc>
        <w:tc>
          <w:tcPr>
            <w:tcBorders/>
            <w:tcW w:w="34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Solo pruebas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test/campaign-service-coverage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160"/>
        <w:ind/>
        <w:rPr/>
      </w:pPr>
      <w:r>
        <w:rPr>
          <w:rFonts w:ascii="Calibri" w:hAnsi="Calibri" w:eastAsia="Calibri"/>
          <w:i/>
        </w:rPr>
        <w:t xml:space="preserve">Ramas principales (sin prefijo): master (y develop si el equipo la usa para integración).</w:t>
      </w:r>
      <w:r/>
    </w:p>
    <w:p>
      <w:pPr>
        <w:pBdr/>
        <w:spacing w:after="160"/>
        <w:ind/>
        <w:rPr/>
      </w:pPr>
      <w:r>
        <w:rPr>
          <w:rFonts w:ascii="Calibri" w:hAnsi="Calibri" w:eastAsia="Calibri"/>
          <w:b/>
        </w:rPr>
        <w:t xml:space="preserve">Buenas prácticas: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PRs pequeños y revisables; un propósito claro.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No incluir Co-authored-by de herramientas si la política del equipo lo prohíbe.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No forzar push a master salvo acuerdo explícito (ramas protegidas).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Commits en presente/imperativo breve: “Add … / Fix … / Update …”.</w:t>
      </w:r>
      <w:r/>
    </w:p>
    <w:p>
      <w:pPr>
        <w:pStyle w:val="654"/>
        <w:pBdr/>
        <w:spacing/>
        <w:ind/>
        <w:rPr/>
      </w:pPr>
      <w:r>
        <w:rPr>
          <w:color w:val="1e3a5f"/>
        </w:rPr>
        <w:t xml:space="preserve">12. Arquitectura y convenciones de base de datos</w:t>
      </w:r>
      <w:r/>
    </w:p>
    <w:p>
      <w:pPr>
        <w:pBdr/>
        <w:spacing w:after="160"/>
        <w:ind/>
        <w:rPr/>
      </w:pPr>
      <w:r>
        <w:rPr>
          <w:rFonts w:ascii="Calibri" w:hAnsi="Calibri" w:eastAsia="Calibri"/>
        </w:rPr>
        <w:t xml:space="preserve">Esta sección describe la arquitectura real de datos del ecosistema IDEC (revisada contra DDL, modelos SQLAlchemy y manuales operativos). Las convenciones siguientes deben coincidir con lo ya desplegado; no inventar un estilo paralelo en un PR aislado.</w:t>
      </w:r>
      <w:r/>
    </w:p>
    <w:p>
      <w:pPr>
        <w:pStyle w:val="655"/>
        <w:pBdr/>
        <w:spacing/>
        <w:ind/>
        <w:rPr/>
      </w:pPr>
      <w:r>
        <w:rPr>
          <w:color w:val="1e3a5f"/>
        </w:rPr>
        <w:t xml:space="preserve">12.1 Mapa de bases (qué vive dónde)</w:t>
      </w:r>
      <w:r/>
    </w:p>
    <w:tbl>
      <w:tblPr>
        <w:tblStyle w:val="718"/>
        <w:tblW w:w="0" w:type="auto"/>
        <w:tblBorders/>
        <w:tblLook w:val="04A0" w:firstRow="1" w:lastRow="0" w:firstColumn="1" w:lastColumn="0" w:noHBand="0" w:noVBand="1"/>
      </w:tblPr>
      <w:tblGrid>
        <w:gridCol w:w="1984"/>
        <w:gridCol w:w="2551"/>
        <w:gridCol w:w="4819"/>
      </w:tblGrid>
      <w:tr>
        <w:trPr/>
        <w:tc>
          <w:tcPr>
            <w:shd w:val="clear" w:color="auto" w:fill="1e3a5f"/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Base</w:t>
            </w:r>
            <w:r/>
          </w:p>
        </w:tc>
        <w:tc>
          <w:tcPr>
            <w:shd w:val="clear" w:color="auto" w:fill="1e3a5f"/>
            <w:tcBorders/>
            <w:tcW w:w="2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Motor</w:t>
            </w:r>
            <w:r/>
          </w:p>
        </w:tc>
        <w:tc>
          <w:tcPr>
            <w:shd w:val="clear" w:color="auto" w:fill="1e3a5f"/>
            <w:tcBorders/>
            <w:tcW w:w="481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Uso</w:t>
            </w:r>
            <w:r/>
          </w:p>
        </w:tc>
      </w:tr>
      <w:tr>
        <w:trPr/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idec_erp</w:t>
            </w:r>
            <w:r/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PostgreSQL 14 + PostGIS 3.2</w:t>
            </w:r>
            <w:r/>
          </w:p>
        </w:tc>
        <w:tc>
          <w:tcPr>
            <w:tcBorders/>
            <w:tcW w:w="481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BD de trabajo del ERP unificado: RBAC + schemas GIS detección + resolutions</w:t>
            </w:r>
            <w:r/>
          </w:p>
        </w:tc>
      </w:tr>
      <w:tr>
        <w:trPr/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idec-alcaldia</w:t>
            </w:r>
            <w:r/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PostgreSQL (sin PostGIS)</w:t>
            </w:r>
            <w:r/>
          </w:p>
        </w:tc>
        <w:tc>
          <w:tcPr>
            <w:tcBorders/>
            <w:tcW w:w="481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Origen histórico del núcleo RBAC; sincronizable hacia idec_erp</w:t>
            </w:r>
            <w:r/>
          </w:p>
        </w:tc>
      </w:tr>
      <w:tr>
        <w:trPr/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vision_computadora</w:t>
            </w:r>
            <w:r/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PostgreSQL</w:t>
            </w:r>
            <w:r/>
          </w:p>
        </w:tc>
        <w:tc>
          <w:tcPr>
            <w:tcBorders/>
            <w:tcW w:w="481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Jobs OCR/extracción del BackendVisionComputadora (BD aparte)</w:t>
            </w:r>
            <w:r/>
          </w:p>
        </w:tc>
      </w:tr>
      <w:tr>
        <w:trPr/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catastro (SISCAT)</w:t>
            </w:r>
            <w:r/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SQL Server</w:t>
            </w:r>
            <w:r/>
          </w:p>
        </w:tc>
        <w:tc>
          <w:tcPr>
            <w:tcBorders/>
            <w:tcW w:w="481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Registros/asientos catastrales; solo lectura desde scripts/servicios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160"/>
        <w:ind/>
        <w:rPr/>
      </w:pPr>
      <w:r>
        <w:rPr>
          <w:rFonts w:ascii="Calibri" w:hAnsi="Calibri" w:eastAsia="Calibri"/>
          <w:i/>
        </w:rPr>
        <w:t xml:space="preserve">Host de referencia idec_erp: 172.16.66.103:5432. Variables ERP: DB_HOST, DB_PORT, DB_USER, DB_PASSWORD, DB_NAME (o DATABASE_URL). Visión: DATABASE_URL hacia vision_computadora. Catastro SISCAT: CATASTRO_DB_URL (mssql+pyodbc).</w:t>
      </w:r>
      <w:r/>
    </w:p>
    <w:p>
      <w:pPr>
        <w:pBdr/>
        <w:spacing w:after="160"/>
        <w:ind/>
        <w:rPr/>
      </w:pPr>
      <w:r>
        <w:rPr>
          <w:rFonts w:ascii="Calibri" w:hAnsi="Calibri" w:eastAsia="Calibri"/>
          <w:b/>
        </w:rPr>
        <w:t xml:space="preserve">Regla operativa: aplicaciones GIS del ERP apuntan a idec_erp (con PostGIS), nunca a idec-alcaldia.</w:t>
      </w:r>
      <w:r/>
    </w:p>
    <w:p>
      <w:pPr>
        <w:pStyle w:val="655"/>
        <w:pBdr/>
        <w:spacing/>
        <w:ind/>
        <w:rPr/>
      </w:pPr>
      <w:r>
        <w:rPr>
          <w:color w:val="1e3a5f"/>
        </w:rPr>
        <w:t xml:space="preserve">12.2 Arquitectura lógica de idec_erp (schemas)</w:t>
      </w:r>
      <w:r/>
    </w:p>
    <w:p>
      <w:pPr>
        <w:pBdr/>
        <w:spacing w:after="160" w:before="80"/>
        <w:ind w:left="170"/>
        <w:rPr/>
      </w:pPr>
      <w:r>
        <w:rPr>
          <w:rFonts w:ascii="Consolas" w:hAnsi="Consolas" w:eastAsia="Consolas"/>
          <w:color w:val="1e293b"/>
          <w:sz w:val="18"/>
        </w:rPr>
        <w:t xml:space="preserve">idec_erp</w:t>
      </w:r>
      <w:r>
        <w:rPr>
          <w:rFonts w:ascii="Consolas" w:hAnsi="Consolas" w:eastAsia="Consolas"/>
          <w:color w:val="1e293b"/>
          <w:sz w:val="18"/>
        </w:rPr>
        <w:br/>
        <w:t xml:space="preserve">├── public          → RBAC ERP (usuario, roles, áreas, permisos, auditorías)</w:t>
      </w:r>
      <w:r>
        <w:rPr>
          <w:rFonts w:ascii="Consolas" w:hAnsi="Consolas" w:eastAsia="Consolas"/>
          <w:color w:val="1e293b"/>
          <w:sz w:val="18"/>
        </w:rPr>
        <w:br/>
        <w:t xml:space="preserve">├── deteccion_cfg   → parámetros y roles de negocio del módulo</w:t>
      </w:r>
      <w:r>
        <w:rPr>
          <w:rFonts w:ascii="Consolas" w:hAnsi="Consolas" w:eastAsia="Consolas"/>
          <w:color w:val="1e293b"/>
          <w:sz w:val="18"/>
        </w:rPr>
        <w:br/>
        <w:t xml:space="preserve">├── deteccion       → campañas, áreas, jobs, validación, capas GIS</w:t>
      </w:r>
      <w:r>
        <w:rPr>
          <w:rFonts w:ascii="Consolas" w:hAnsi="Consolas" w:eastAsia="Consolas"/>
          <w:color w:val="1e293b"/>
          <w:sz w:val="18"/>
        </w:rPr>
        <w:br/>
        <w:t xml:space="preserve">├── dataset         → muestras etiquetadas (reentrenamiento)</w:t>
      </w:r>
      <w:r>
        <w:rPr>
          <w:rFonts w:ascii="Consolas" w:hAnsi="Consolas" w:eastAsia="Consolas"/>
          <w:color w:val="1e293b"/>
          <w:sz w:val="18"/>
        </w:rPr>
        <w:br/>
        <w:t xml:space="preserve">├── pub             → vistas / exports para ArcGIS (ogr2ogr)</w:t>
      </w:r>
      <w:r>
        <w:rPr>
          <w:rFonts w:ascii="Consolas" w:hAnsi="Consolas" w:eastAsia="Consolas"/>
          <w:color w:val="1e293b"/>
          <w:sz w:val="18"/>
        </w:rPr>
        <w:br/>
        <w:t xml:space="preserve">├── audit           → bitácora de acciones del módulo detección</w:t>
      </w:r>
      <w:r>
        <w:rPr>
          <w:rFonts w:ascii="Consolas" w:hAnsi="Consolas" w:eastAsia="Consolas"/>
          <w:color w:val="1e293b"/>
          <w:sz w:val="18"/>
        </w:rPr>
        <w:br/>
        <w:t xml:space="preserve">└── resolutions     → módulo resoluciones (app móvil; inglés)</w:t>
      </w:r>
      <w:r/>
    </w:p>
    <w:p>
      <w:pPr>
        <w:pBdr/>
        <w:spacing w:after="160"/>
        <w:ind/>
        <w:rPr/>
      </w:pPr>
      <w:r>
        <w:rPr>
          <w:rFonts w:ascii="Calibri" w:hAnsi="Calibri" w:eastAsia="Calibri"/>
        </w:rPr>
        <w:t xml:space="preserve">Extensiones: postgis, pgcrypto, uuid-ossp. CRS operativo de geometrías: EPSG:4326. Publicación sugerida a ArcGIS: EPSG:32719 (UTM 19S).</w:t>
      </w:r>
      <w:r/>
    </w:p>
    <w:p>
      <w:pPr>
        <w:pStyle w:val="655"/>
        <w:pBdr/>
        <w:spacing/>
        <w:ind/>
        <w:rPr/>
      </w:pPr>
      <w:r>
        <w:rPr>
          <w:color w:val="1e3a5f"/>
        </w:rPr>
        <w:t xml:space="preserve">12.3 Núcleo RBAC (public) y relación con Keycloak</w:t>
      </w:r>
      <w:r/>
    </w:p>
    <w:p>
      <w:pPr>
        <w:pBdr/>
        <w:spacing w:after="160" w:before="80"/>
        <w:ind w:left="170"/>
        <w:rPr/>
      </w:pPr>
      <w:r>
        <w:rPr>
          <w:rFonts w:ascii="Consolas" w:hAnsi="Consolas" w:eastAsia="Consolas"/>
          <w:color w:val="1e293b"/>
          <w:sz w:val="18"/>
        </w:rPr>
        <w:t xml:space="preserve">public.sistema</w:t>
      </w:r>
      <w:r>
        <w:rPr>
          <w:rFonts w:ascii="Consolas" w:hAnsi="Consolas" w:eastAsia="Consolas"/>
          <w:color w:val="1e293b"/>
          <w:sz w:val="18"/>
        </w:rPr>
        <w:br/>
        <w:t xml:space="preserve">  └── public.subsistema</w:t>
      </w:r>
      <w:r>
        <w:rPr>
          <w:rFonts w:ascii="Consolas" w:hAnsi="Consolas" w:eastAsia="Consolas"/>
          <w:color w:val="1e293b"/>
          <w:sz w:val="18"/>
        </w:rPr>
        <w:br/>
        <w:t xml:space="preserve">        └── public.recurso</w:t>
      </w:r>
      <w:r>
        <w:rPr>
          <w:rFonts w:ascii="Consolas" w:hAnsi="Consolas" w:eastAsia="Consolas"/>
          <w:color w:val="1e293b"/>
          <w:sz w:val="18"/>
        </w:rPr>
        <w:br/>
        <w:t xml:space="preserve">              └── public.permiso</w:t>
      </w:r>
      <w:r>
        <w:rPr>
          <w:rFonts w:ascii="Consolas" w:hAnsi="Consolas" w:eastAsia="Consolas"/>
          <w:color w:val="1e293b"/>
          <w:sz w:val="18"/>
        </w:rPr>
        <w:br/>
        <w:t xml:space="preserve">                    └── public.rol_permiso ← public.rol_interno</w:t>
      </w:r>
      <w:r>
        <w:rPr>
          <w:rFonts w:ascii="Consolas" w:hAnsi="Consolas" w:eastAsia="Consolas"/>
          <w:color w:val="1e293b"/>
          <w:sz w:val="18"/>
        </w:rPr>
        <w:br/>
        <w:t xml:space="preserve">                                              ↑</w:t>
      </w:r>
      <w:r>
        <w:rPr>
          <w:rFonts w:ascii="Consolas" w:hAnsi="Consolas" w:eastAsia="Consolas"/>
          <w:color w:val="1e293b"/>
          <w:sz w:val="18"/>
        </w:rPr>
        <w:br/>
        <w:t xml:space="preserve">                              public.usuario_rol_area</w:t>
      </w:r>
      <w:r>
        <w:rPr>
          <w:rFonts w:ascii="Consolas" w:hAnsi="Consolas" w:eastAsia="Consolas"/>
          <w:color w:val="1e293b"/>
          <w:sz w:val="18"/>
        </w:rPr>
        <w:br/>
        <w:t xml:space="preserve">                                              ↑</w:t>
      </w:r>
      <w:r>
        <w:rPr>
          <w:rFonts w:ascii="Consolas" w:hAnsi="Consolas" w:eastAsia="Consolas"/>
          <w:color w:val="1e293b"/>
          <w:sz w:val="18"/>
        </w:rPr>
        <w:br/>
        <w:t xml:space="preserve">                                      public.usuario  ←── FK reales del módulo</w:t>
      </w:r>
      <w:r>
        <w:rPr>
          <w:rFonts w:ascii="Consolas" w:hAnsi="Consolas" w:eastAsia="Consolas"/>
          <w:color w:val="1e293b"/>
          <w:sz w:val="18"/>
        </w:rPr>
        <w:br/>
        <w:t xml:space="preserve">                                              ↑</w:t>
      </w:r>
      <w:r>
        <w:rPr>
          <w:rFonts w:ascii="Consolas" w:hAnsi="Consolas" w:eastAsia="Consolas"/>
          <w:color w:val="1e293b"/>
          <w:sz w:val="18"/>
        </w:rPr>
        <w:br/>
        <w:t xml:space="preserve">                                    public.area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usuario.keycloak_sub enlaza el UUID de Keycloak con la fila local.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Permisos de API se modelan como dominio.accion sobre el catálogo recurso/permiso.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Sistema sembrado del módulo GIS: “Detección de construcciones”; roles ERP arquitecto_deteccion / operador_deteccion.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Roles de negocio del módulo (aparte del RBAC ERP): deteccion_cfg.rol_modulo (admin|arquitecto|operador|revisor).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FK de negocio del módulo apuntan a public.usuario(id); no usar tablas usuario_ref legacy.</w:t>
      </w:r>
      <w:r/>
    </w:p>
    <w:p>
      <w:pPr>
        <w:pStyle w:val="655"/>
        <w:pBdr/>
        <w:spacing/>
        <w:ind/>
        <w:rPr/>
      </w:pPr>
      <w:r>
        <w:rPr>
          <w:color w:val="1e3a5f"/>
        </w:rPr>
        <w:t xml:space="preserve">12.4 Convenciones de nombres (código EN + legado físico)</w:t>
      </w:r>
      <w:r/>
    </w:p>
    <w:p>
      <w:pPr>
        <w:pBdr/>
        <w:spacing w:after="160"/>
        <w:ind/>
        <w:rPr/>
      </w:pPr>
      <w:r>
        <w:rPr>
          <w:rFonts w:ascii="Calibri" w:hAnsi="Calibri" w:eastAsia="Calibri"/>
        </w:rPr>
        <w:t xml:space="preserve">Política: atributos y objetos NUEVOS en inglés. El DDL histórico de idec_erp (RBAC + detección) permanece en español en el motor hasta una migración ALTER RENAME coordinada; el código del ERP mapea EN→ES físico.</w:t>
      </w:r>
      <w:r/>
    </w:p>
    <w:tbl>
      <w:tblPr>
        <w:tblStyle w:val="718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3118"/>
        <w:gridCol w:w="3969"/>
      </w:tblGrid>
      <w:tr>
        <w:trPr/>
        <w:tc>
          <w:tcPr>
            <w:shd w:val="clear" w:color="auto" w:fill="1e3a5f"/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Ámbito</w:t>
            </w:r>
            <w:r/>
          </w:p>
        </w:tc>
        <w:tc>
          <w:tcPr>
            <w:shd w:val="clear" w:color="auto" w:fill="1e3a5f"/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Código / API (EN)</w:t>
            </w:r>
            <w:r/>
          </w:p>
        </w:tc>
        <w:tc>
          <w:tcPr>
            <w:shd w:val="clear" w:color="auto" w:fill="1e3a5f"/>
            <w:tcBorders/>
            <w:tcW w:w="396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Físico BD hoy</w:t>
            </w:r>
            <w:r/>
          </w:p>
        </w:tc>
      </w:tr>
      <w:tr>
        <w:trPr/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public (RBAC)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User.email, InternalRole, user_role_area</w:t>
            </w:r>
            <w:r/>
          </w:p>
        </w:tc>
        <w:tc>
          <w:tcPr>
            <w:tcBorders/>
            <w:tcW w:w="396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usuario.correo, rol_interno, usuario_rol_area</w:t>
            </w:r>
            <w:r/>
          </w:p>
        </w:tc>
      </w:tr>
      <w:tr>
        <w:trPr/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deteccion* / dataset / pub / audit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Campaign, WorkArea, DetectionChange (futuro ORM)</w:t>
            </w:r>
            <w:r/>
          </w:p>
        </w:tc>
        <w:tc>
          <w:tcPr>
            <w:tcBorders/>
            <w:tcW w:w="396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campania, area_trabajo, deteccion_cambio</w:t>
            </w:r>
            <w:r/>
          </w:p>
        </w:tc>
      </w:tr>
      <w:tr>
        <w:trPr/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resolutions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Resolution, ResolutionPage</w:t>
            </w:r>
            <w:r/>
          </w:p>
        </w:tc>
        <w:tc>
          <w:tcPr>
            <w:tcBorders/>
            <w:tcW w:w="396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Ya en inglés (resolution_id, created_at…)</w:t>
            </w:r>
            <w:r/>
          </w:p>
        </w:tc>
      </w:tr>
      <w:tr>
        <w:trPr/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Permisos RBAC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detection.view, security.edit</w:t>
            </w:r>
            <w:r/>
          </w:p>
        </w:tc>
        <w:tc>
          <w:tcPr>
            <w:tcBorders/>
            <w:tcW w:w="396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Migrar con migrate_permission_codes.sql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Tablas nuevas: snake_case inglés plural o singular consistente del módulo (users, internal_roles).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PK estándar: id uuid. FK: &lt;entity&gt;_id.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No mezclar property junto a predio_analisis: al cablear ORM PostGIS, preferir inglés en atributos; columnas físicas según DDL hasta rename.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No renombrar tablas legacy en un PR de feature sin script de migración + ventana de despliegue.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user es palabra reservada en SQL: tabla física preferida users (o app_user) al migrar.</w:t>
      </w:r>
      <w:r/>
    </w:p>
    <w:p>
      <w:pPr>
        <w:pStyle w:val="655"/>
        <w:pBdr/>
        <w:spacing/>
        <w:ind/>
        <w:rPr/>
      </w:pPr>
      <w:r>
        <w:rPr>
          <w:color w:val="1e3a5f"/>
        </w:rPr>
        <w:t xml:space="preserve">12.5 Tipos, espacial, booleanos y estados</w:t>
      </w:r>
      <w:r/>
    </w:p>
    <w:tbl>
      <w:tblPr>
        <w:tblStyle w:val="718"/>
        <w:tblW w:w="0" w:type="auto"/>
        <w:tblBorders/>
        <w:tblLook w:val="04A0" w:firstRow="1" w:lastRow="0" w:firstColumn="1" w:lastColumn="0" w:noHBand="0" w:noVBand="1"/>
      </w:tblPr>
      <w:tblGrid>
        <w:gridCol w:w="1984"/>
        <w:gridCol w:w="2835"/>
        <w:gridCol w:w="4535"/>
      </w:tblGrid>
      <w:tr>
        <w:trPr/>
        <w:tc>
          <w:tcPr>
            <w:shd w:val="clear" w:color="auto" w:fill="1e3a5f"/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Tipo</w:t>
            </w:r>
            <w:r/>
          </w:p>
        </w:tc>
        <w:tc>
          <w:tcPr>
            <w:shd w:val="clear" w:color="auto" w:fill="1e3a5f"/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Cuándo</w:t>
            </w:r>
            <w:r/>
          </w:p>
        </w:tc>
        <w:tc>
          <w:tcPr>
            <w:shd w:val="clear" w:color="auto" w:fill="1e3a5f"/>
            <w:tcBorders/>
            <w:tcW w:w="45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Ejemplo real / recomendado</w:t>
            </w:r>
            <w:r/>
          </w:p>
        </w:tc>
      </w:tr>
      <w:tr>
        <w:trPr/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UUID</w:t>
            </w:r>
            <w:r/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PK / FK de negocio ERP</w:t>
            </w:r>
            <w:r/>
          </w:p>
        </w:tc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id uuid DEFAULT gen_random_uuid()</w:t>
            </w:r>
            <w:r/>
          </w:p>
        </w:tc>
      </w:tr>
      <w:tr>
        <w:trPr/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VARCHAR(n) / TEXT</w:t>
            </w:r>
            <w:r/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Textos con o sin tope</w:t>
            </w:r>
            <w:r/>
          </w:p>
        </w:tc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codigo VARCHAR, descripcion TEXT</w:t>
            </w:r>
            <w:r/>
          </w:p>
        </w:tc>
      </w:tr>
      <w:tr>
        <w:trPr/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BOOLEAN</w:t>
            </w:r>
            <w:r/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Flags de vigencia</w:t>
            </w:r>
            <w:r/>
          </w:p>
        </w:tc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activo, activa (no is_active en RBAC)</w:t>
            </w:r>
            <w:r/>
          </w:p>
        </w:tc>
      </w:tr>
      <w:tr>
        <w:trPr/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TIMESTAMPTZ / timestamp</w:t>
            </w:r>
            <w:r/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Auditoría temporal</w:t>
            </w:r>
            <w:r/>
          </w:p>
        </w:tc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ver §12.7 (varias familias)</w:t>
            </w:r>
            <w:r/>
          </w:p>
        </w:tc>
      </w:tr>
      <w:tr>
        <w:trPr/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NUMERIC</w:t>
            </w:r>
            <w:r/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Áreas / métricas</w:t>
            </w:r>
            <w:r/>
          </w:p>
        </w:tc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area_m2 (también generada por PostGIS)</w:t>
            </w:r>
            <w:r/>
          </w:p>
        </w:tc>
      </w:tr>
      <w:tr>
        <w:trPr/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JSONB</w:t>
            </w:r>
            <w:r/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Snapshots / payloads</w:t>
            </w:r>
            <w:r/>
          </w:p>
        </w:tc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siscat_snapshot, payload en audit.evento</w:t>
            </w:r>
            <w:r/>
          </w:p>
        </w:tc>
      </w:tr>
      <w:tr>
        <w:trPr/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geometry(..., 4326)</w:t>
            </w:r>
            <w:r/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Capas GIS</w:t>
            </w:r>
            <w:r/>
          </w:p>
        </w:tc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MultiPolygon/Polygon/Point; índices GIST</w:t>
            </w:r>
            <w:r/>
          </w:p>
        </w:tc>
      </w:tr>
      <w:tr>
        <w:trPr/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ENUM / CHECK</w:t>
            </w:r>
            <w:r/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Ciclos de vida</w:t>
            </w:r>
            <w:r/>
          </w:p>
        </w:tc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estado_job, estado_validacion, progress_pct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Geometría es parte del modelo (area_trabajo.geom, capas), no un adjunto improvisado.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Columnas generadas típicas: bbox (ST_Envelope), area_m2 (ST_Area(...::geography)).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Índices espaciales GIST (ej. area_trabajo_geom_gix). Nombres reales suelen ser &lt;tabla&gt;_&lt;col&gt;_idx / *_gix; al crear índices nuevos preferir ix_/ux_/fk_/uq_/ck_ si el equipo lo acuerda, sin renombrar los existentes en el mismo PR.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Estados de pipeline: preferir columnas estado_* / enums; no acumular booleanos contradictorios.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NULL solo cuando la ausencia es válida de negocio; UNIQUE compuestos cuando el negocio lo exige (ej. (campania_id, codigo_catastral)).</w:t>
      </w:r>
      <w:r/>
    </w:p>
    <w:p>
      <w:pPr>
        <w:pStyle w:val="655"/>
        <w:pBdr/>
        <w:spacing/>
        <w:ind/>
        <w:rPr/>
      </w:pPr>
      <w:r>
        <w:rPr>
          <w:color w:val="1e3a5f"/>
        </w:rPr>
        <w:t xml:space="preserve">12.6 Auditoría, soft delete y timestamps (familias reales)</w:t>
      </w:r>
      <w:r/>
    </w:p>
    <w:tbl>
      <w:tblPr>
        <w:tblStyle w:val="718"/>
        <w:tblW w:w="0" w:type="auto"/>
        <w:tblBorders/>
        <w:tblLook w:val="04A0" w:firstRow="1" w:lastRow="0" w:firstColumn="1" w:lastColumn="0" w:noHBand="0" w:noVBand="1"/>
      </w:tblPr>
      <w:tblGrid>
        <w:gridCol w:w="2835"/>
        <w:gridCol w:w="2835"/>
        <w:gridCol w:w="3685"/>
      </w:tblGrid>
      <w:tr>
        <w:trPr/>
        <w:tc>
          <w:tcPr>
            <w:shd w:val="clear" w:color="auto" w:fill="1e3a5f"/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Familia</w:t>
            </w:r>
            <w:r/>
          </w:p>
        </w:tc>
        <w:tc>
          <w:tcPr>
            <w:shd w:val="clear" w:color="auto" w:fill="1e3a5f"/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Dónde</w:t>
            </w:r>
            <w:r/>
          </w:p>
        </w:tc>
        <w:tc>
          <w:tcPr>
            <w:shd w:val="clear" w:color="auto" w:fill="1e3a5f"/>
            <w:tcBorders/>
            <w:tcW w:w="36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Patrón</w:t>
            </w:r>
            <w:r/>
          </w:p>
        </w:tc>
      </w:tr>
      <w:tr>
        <w:trPr/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fecha_creacion / fecha_actualizacion</w:t>
            </w:r>
            <w:r/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public.* (RBAC)</w:t>
            </w:r>
            <w:r/>
          </w:p>
        </w:tc>
        <w:tc>
          <w:tcPr>
            <w:tcBorders/>
            <w:tcW w:w="36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Timestamps de alta/cambio</w:t>
            </w:r>
            <w:r/>
          </w:p>
        </w:tc>
      </w:tr>
      <w:tr>
        <w:trPr/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creada_en / creado_en / actualizado_en / cerrada_en</w:t>
            </w:r>
            <w:r/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deteccion*, dataset, pub, audit</w:t>
            </w:r>
            <w:r/>
          </w:p>
        </w:tc>
        <w:tc>
          <w:tcPr>
            <w:tcBorders/>
            <w:tcW w:w="36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Estilo del módulo GIS</w:t>
            </w:r>
            <w:r/>
          </w:p>
        </w:tc>
      </w:tr>
      <w:tr>
        <w:trPr/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created_at / updated_at / deleted_at</w:t>
            </w:r>
            <w:r/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resolutions.*</w:t>
            </w:r>
            <w:r/>
          </w:p>
        </w:tc>
        <w:tc>
          <w:tcPr>
            <w:tcBorders/>
            <w:tcW w:w="36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Inglés + soft delete</w:t>
            </w:r>
            <w:r/>
          </w:p>
        </w:tc>
      </w:tr>
      <w:tr>
        <w:trPr/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created_at / started_at / validated_at</w:t>
            </w:r>
            <w:r/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extraction_jobs</w:t>
            </w:r>
            <w:r/>
          </w:p>
        </w:tc>
        <w:tc>
          <w:tcPr>
            <w:tcBorders/>
            <w:tcW w:w="36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Visión OCR</w:t>
            </w:r>
            <w:r/>
          </w:p>
        </w:tc>
      </w:tr>
      <w:tr>
        <w:trPr/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timestamp</w:t>
            </w:r>
            <w:r/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auditoria_acceso, auditoria_geoocr</w:t>
            </w:r>
            <w:r/>
          </w:p>
        </w:tc>
        <w:tc>
          <w:tcPr>
            <w:tcBorders/>
            <w:tcW w:w="36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Eventos de acceso</w:t>
            </w:r>
            <w:r/>
          </w:p>
        </w:tc>
      </w:tr>
      <w:tr>
        <w:trPr/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audit.evento</w:t>
            </w:r>
            <w:r/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schema audit</w:t>
            </w:r>
            <w:r/>
          </w:p>
        </w:tc>
        <w:tc>
          <w:tcPr>
            <w:tcBorders/>
            <w:tcW w:w="36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usuario_id, entidad, accion, payload, ip_origen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RBAC: vigencia con flag activo / activa (inactivar ≠ borrar).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Resoluciones: soft delete real con deleted_at.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Detección GIS: ciclo de vida por estados de job/validación, no soft delete genérico.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Al agregar columnas temporales a un schema, copiar la familia ya usada ahí (no introducir created_at en public.usuario en un PR aislado).</w:t>
      </w:r>
      <w:r/>
    </w:p>
    <w:p>
      <w:pPr>
        <w:pStyle w:val="655"/>
        <w:pBdr/>
        <w:spacing/>
        <w:ind/>
        <w:rPr/>
      </w:pPr>
      <w:r>
        <w:rPr>
          <w:color w:val="1e3a5f"/>
        </w:rPr>
        <w:t xml:space="preserve">12.7 Acceso desde aplicaciones (capas)</w:t>
      </w:r>
      <w:r/>
    </w:p>
    <w:tbl>
      <w:tblPr>
        <w:tblStyle w:val="718"/>
        <w:tblW w:w="0" w:type="auto"/>
        <w:tblBorders/>
        <w:tblLook w:val="04A0" w:firstRow="1" w:lastRow="0" w:firstColumn="1" w:lastColumn="0" w:noHBand="0" w:noVBand="1"/>
      </w:tblPr>
      <w:tblGrid>
        <w:gridCol w:w="2551"/>
        <w:gridCol w:w="3118"/>
        <w:gridCol w:w="3685"/>
      </w:tblGrid>
      <w:tr>
        <w:trPr/>
        <w:tc>
          <w:tcPr>
            <w:shd w:val="clear" w:color="auto" w:fill="1e3a5f"/>
            <w:tcBorders/>
            <w:tcW w:w="2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Componente</w:t>
            </w:r>
            <w:r/>
          </w:p>
        </w:tc>
        <w:tc>
          <w:tcPr>
            <w:shd w:val="clear" w:color="auto" w:fill="1e3a5f"/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Cómo accede a BD</w:t>
            </w:r>
            <w:r/>
          </w:p>
        </w:tc>
        <w:tc>
          <w:tcPr>
            <w:shd w:val="clear" w:color="auto" w:fill="1e3a5f"/>
            <w:tcBorders/>
            <w:tcW w:w="36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Notas</w:t>
            </w:r>
            <w:r/>
          </w:p>
        </w:tc>
      </w:tr>
      <w:tr>
        <w:trPr/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idec-erp-back (seguridad, </w:t>
            </w:r>
            <w:r>
              <w:rPr>
                <w:rFonts w:ascii="Calibri" w:hAnsi="Calibri" w:eastAsia="Calibri"/>
                <w:sz w:val="18"/>
              </w:rPr>
              <w:t xml:space="preserve">resolutions)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SQLAlchemy 2 + repositorios (ports)</w:t>
            </w:r>
            <w:r/>
          </w:p>
        </w:tc>
        <w:tc>
          <w:tcPr>
            <w:tcBorders/>
            <w:tcW w:w="36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ORM describe el esquema SQL; no lo inventa. </w:t>
            </w:r>
            <w:r>
              <w:rPr>
                <w:rFonts w:ascii="Calibri" w:hAnsi="Calibri" w:eastAsia="Calibri"/>
                <w:sz w:val="18"/>
              </w:rPr>
              <w:t xml:space="preserve">Sin Unit of Work formal.</w:t>
            </w:r>
            <w:r/>
          </w:p>
        </w:tc>
      </w:tr>
      <w:tr>
        <w:trPr/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idec-erp-back (deteccion)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BFF HTTP → motor GPU</w:t>
            </w:r>
            <w:r/>
          </w:p>
        </w:tc>
        <w:tc>
          <w:tcPr>
            <w:tcBorders/>
            <w:tcW w:w="36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Sin modelos ORM PostGIS aún; schema deteccion.* ya existe en BD</w:t>
            </w:r>
            <w:r/>
          </w:p>
        </w:tc>
      </w:tr>
      <w:tr>
        <w:trPr/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BackendVisionComputadora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AsyncSession directo sobre extraction_jobs</w:t>
            </w:r>
            <w:r/>
          </w:p>
        </w:tc>
        <w:tc>
          <w:tcPr>
            <w:tcBorders/>
            <w:tcW w:w="36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Sin capa repository; create_all + ALTER IF NOT EXISTS</w:t>
            </w:r>
            <w:r/>
          </w:p>
        </w:tc>
      </w:tr>
      <w:tr>
        <w:trPr/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Scripts catastro / asientos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SQLAlchemy + SQL crudo a MSSQL</w:t>
            </w:r>
            <w:r/>
          </w:p>
        </w:tc>
        <w:tc>
          <w:tcPr>
            <w:tcBorders/>
            <w:tcW w:w="36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Solo lectura; no mutar SISCAT desde el ERP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160"/>
        <w:ind/>
        <w:rPr/>
      </w:pPr>
      <w:r>
        <w:rPr>
          <w:rFonts w:ascii="Calibri" w:hAnsi="Calibri" w:eastAsia="Calibri"/>
          <w:i/>
        </w:rPr>
        <w:t xml:space="preserve">ORM ≠ dominio: entidades de dominio vs *Model SQLAlchemy. No filtrar detalles de motor (tipos geometry, dialectos) hacia la capa domain.</w:t>
      </w:r>
      <w:r/>
    </w:p>
    <w:p>
      <w:pPr>
        <w:pStyle w:val="655"/>
        <w:pBdr/>
        <w:spacing/>
        <w:ind/>
        <w:rPr/>
      </w:pPr>
      <w:r>
        <w:rPr>
          <w:color w:val="1e3a5f"/>
        </w:rPr>
        <w:t xml:space="preserve">12.8 Evolución del esquema (sin Alembic hoy)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No hay Alembic/Prisma en los repos actuales. La evolución es por scripts SQL versionados en docs/ y scripts/ (_create_idec_erp_db.py, sync desde idec-alcaldia).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Cambios estructurales: script reproducible + actualización de SCHEMA_IDEC_ERP.sql + nota en MANUAL_BD_IDEC_ERP.md + impacto en modelos ORM si existen.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create_all del ERP solo cubre modelos de seguridad; resolutions y schemas GIS no se “inventan” desde el ORM.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Si el equipo adopta Alembic más adelante, documentarlo aquí; hasta entonces no mezclar enfoques en el mismo módulo.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SCHEMA_IDEC_ERP.sql puede tener menos índices que el script de creación: al dudar, contrastar ambos y preferir el script desplegado.</w:t>
      </w:r>
      <w:r/>
    </w:p>
    <w:p>
      <w:pPr>
        <w:pStyle w:val="655"/>
        <w:pBdr/>
        <w:spacing/>
        <w:ind/>
        <w:rPr/>
      </w:pPr>
      <w:r>
        <w:rPr>
          <w:color w:val="1e3a5f"/>
        </w:rPr>
        <w:t xml:space="preserve">12.9 Checklist BD (antes de merge)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¿Trabajo sobre idec_erp (GIS) y no sobre idec-alcaldia?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¿Schema correcto (public / deteccion / …)?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¿Nombres snake_case y mismo idioma del schema?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¿PK UUID (o excepción documentada)?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¿FKs a public.usuario cuando hay actor humano?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¿NULL/NOT NULL y UNIQUE alineados al negocio?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¿Geometría 4326 + índice GIST si aplica?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¿Timestamps con la familia del schema (fecha_* / *_en / created_at)?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¿Script SQL reproducible + DDL de referencia actualizado?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¿Modelos ORM / repositorios del back actualizados si leen/escriben la tabla?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¿Sin rename masivo de legado en el mismo PR de feature?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¿Impacto front/API y permisos RBAC revisados?</w:t>
      </w:r>
      <w:r/>
    </w:p>
    <w:p>
      <w:pPr>
        <w:pStyle w:val="654"/>
        <w:pBdr/>
        <w:spacing/>
        <w:ind/>
        <w:rPr/>
      </w:pPr>
      <w:r>
        <w:rPr>
          <w:color w:val="1e3a5f"/>
        </w:rPr>
        <w:t xml:space="preserve">13. Cómo agregar un dominio nuevo (web y/o móvil)</w:t>
      </w:r>
      <w:r/>
    </w:p>
    <w:p>
      <w:pPr>
        <w:pBdr/>
        <w:spacing w:after="160"/>
        <w:ind/>
        <w:rPr/>
      </w:pPr>
      <w:r>
        <w:rPr>
          <w:rFonts w:ascii="Calibri" w:hAnsi="Calibri" w:eastAsia="Calibri"/>
          <w:b/>
        </w:rPr>
        <w:t xml:space="preserve">Orden recomendado: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1) Modelo de datos + permisos RBAC (sistema/acciones) en idec_erp.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2) Backend: copiar estructura de un dominio existente (p.ej. geoextraction o resolutions) en idec-erp-back/app/domains/&lt;nombre&gt;/.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3) Capas: domain → application → infrastructure → presentation → contracts.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4) Registrar en app/registry.py.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5) Si hay UI web: idec-erp-front/src/domains/&lt;nombre&gt;/ con routes, api, pages.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6) Registrar en src/domains/index.js.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7) Menú: src/shared/nav/navConfig.js.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8) Endpoints: src/core/config/endpoints.config.js.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9) Auth solo con security.contracts / require_permission.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10) Si hay app móvil: repo propio del cliente + mismos endpoints /api/&lt;dominio&gt;/… (no crear otro backend). Ver sección 7.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11) Si hay motor externo: adapter en infrastructure + proxy autenticado; browser y móvil solo hablan al ERP Back.</w:t>
      </w:r>
      <w:r/>
    </w:p>
    <w:p>
      <w:pPr>
        <w:pBdr/>
        <w:spacing/>
        <w:ind/>
        <w:rPr/>
      </w:pPr>
      <w:r>
        <w:rPr>
          <w:rFonts w:ascii="Calibri" w:hAnsi="Calibri" w:eastAsia="Calibri"/>
          <w:b/>
          <w:color w:val="92400e"/>
          <w:sz w:val="20"/>
        </w:rPr>
        <w:t xml:space="preserve">Nota: </w:t>
      </w:r>
      <w:r>
        <w:rPr>
          <w:rFonts w:ascii="Calibri" w:hAnsi="Calibri" w:eastAsia="Calibri"/>
          <w:color w:val="78350f"/>
          <w:sz w:val="20"/>
        </w:rPr>
        <w:t xml:space="preserve">Plantilla práctica front: domain</w:t>
      </w:r>
      <w:r>
        <w:rPr>
          <w:rFonts w:ascii="Calibri" w:hAnsi="Calibri" w:eastAsia="Calibri"/>
          <w:color w:val="78350f"/>
          <w:sz w:val="20"/>
        </w:rPr>
        <w:t xml:space="preserve">s/geoextraction (incluye MobileCaptures). Plantilla back reciente: domains/resolutions o domains/detection (este último incluye cliente HTTP a motor GPU). Plantilla API móvil dentro de un dominio existente: geoextraction/presentation/endpoints/captures.py.</w:t>
      </w:r>
      <w:r/>
    </w:p>
    <w:p>
      <w:pPr>
        <w:pStyle w:val="654"/>
        <w:pBdr/>
        <w:spacing/>
        <w:ind/>
        <w:rPr/>
      </w:pPr>
      <w:r>
        <w:rPr>
          <w:color w:val="1e3a5f"/>
        </w:rPr>
        <w:t xml:space="preserve">14. Checklist del desarrollador</w:t>
      </w:r>
      <w:r/>
    </w:p>
    <w:p>
      <w:pPr>
        <w:pStyle w:val="655"/>
        <w:pBdr/>
        <w:spacing/>
        <w:ind/>
        <w:rPr/>
      </w:pPr>
      <w:r>
        <w:rPr>
          <w:color w:val="1e3a5f"/>
        </w:rPr>
        <w:t xml:space="preserve">Antes de abrir PR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¿El cambio pertenece a un solo dominio o es transversal justificado (core/shared)?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¿Respeté capas (sin SQL en endpoints, sin FastAPI en domain)?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¿Permisos correctos en endpoints nuevos?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¿Endpoints en endpoints.config.js y sin URLs hardcodeadas en UI?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¿Textos UI (web y móvil) formales en español (usted)?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¿Comentarios y docstrings en inglés?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¿Migración BD si hubo cambio de esquema?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¿Probé login + ruta con y sin permiso?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Si toca contrato móvil: ¿compatibilidad con la app en producción?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¿La API móvil vive en idec-erp-back (no en un servicio paralelo)?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¿Documenté en el PR el “por qué”?</w:t>
      </w:r>
      <w:r/>
    </w:p>
    <w:p>
      <w:pPr>
        <w:pStyle w:val="654"/>
        <w:pBdr/>
        <w:spacing/>
        <w:ind/>
        <w:rPr/>
      </w:pPr>
      <w:r>
        <w:rPr>
          <w:color w:val="1e3a5f"/>
        </w:rPr>
        <w:t xml:space="preserve">15. Errores frecuentes y anti-patrones</w:t>
      </w:r>
      <w:r/>
    </w:p>
    <w:tbl>
      <w:tblPr>
        <w:tblStyle w:val="718"/>
        <w:tblW w:w="0" w:type="auto"/>
        <w:tblBorders/>
        <w:tblLook w:val="04A0" w:firstRow="1" w:lastRow="0" w:firstColumn="1" w:lastColumn="0" w:noHBand="0" w:noVBand="1"/>
      </w:tblPr>
      <w:tblGrid>
        <w:gridCol w:w="4252"/>
        <w:gridCol w:w="5102"/>
      </w:tblGrid>
      <w:tr>
        <w:trPr/>
        <w:tc>
          <w:tcPr>
            <w:shd w:val="clear" w:color="auto" w:fill="1e3a5f"/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Anti-patrón</w:t>
            </w:r>
            <w:r/>
          </w:p>
        </w:tc>
        <w:tc>
          <w:tcPr>
            <w:shd w:val="clear" w:color="auto" w:fill="1e3a5f"/>
            <w:tcBorders/>
            <w:tcW w:w="51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Hacer en su lugar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Importar un dominio desde otro dominio libremente</w:t>
            </w:r>
            <w:r/>
          </w:p>
        </w:tc>
        <w:tc>
          <w:tcPr>
            <w:tcBorders/>
            <w:tcW w:w="51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Usar contracts/ (back) o core/shared (front)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Llamar al GPU :8100 desde el browser o la app móvil</w:t>
            </w:r>
            <w:r/>
          </w:p>
        </w:tc>
        <w:tc>
          <w:tcPr>
            <w:tcBorders/>
            <w:tcW w:w="51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Usar /api/detection/* del ERP Back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Poner lógica de negocio en el endpoint FastAPI</w:t>
            </w:r>
            <w:r/>
          </w:p>
        </w:tc>
        <w:tc>
          <w:tcPr>
            <w:tcBorders/>
            <w:tcW w:w="51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Use case en application/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Exponer Entity ORM en la API</w:t>
            </w:r>
            <w:r/>
          </w:p>
        </w:tc>
        <w:tc>
          <w:tcPr>
            <w:tcBorders/>
            <w:tcW w:w="51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Schema Pydantic + entity de dominio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Hardcodear host WMS/API en componentes</w:t>
            </w:r>
            <w:r/>
          </w:p>
        </w:tc>
        <w:tc>
          <w:tcPr>
            <w:tcBorders/>
            <w:tcW w:w="51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Config / endpoints.config / hosts del API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Renombrar tablas legacy en un PR de feature</w:t>
            </w:r>
            <w:r/>
          </w:p>
        </w:tc>
        <w:tc>
          <w:tcPr>
            <w:tcBorders/>
            <w:tcW w:w="51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Iniciativa de migración coordinada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Autorizar solo con rol Keycloak</w:t>
            </w:r>
            <w:r/>
          </w:p>
        </w:tc>
        <w:tc>
          <w:tcPr>
            <w:tcBorders/>
            <w:tcW w:w="51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require_permission dominio.accion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Comentarios o docstrings en español</w:t>
            </w:r>
            <w:r/>
          </w:p>
        </w:tc>
        <w:tc>
          <w:tcPr>
            <w:tcBorders/>
            <w:tcW w:w="51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Inglés técnico; español solo en strings de UI/errores de usuario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Mezclar español/inglés en identificadores de código</w:t>
            </w:r>
            <w:r/>
          </w:p>
        </w:tc>
        <w:tc>
          <w:tcPr>
            <w:tcBorders/>
            <w:tcW w:w="51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Inglés en código; español solo en UI/errores de usuario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Crear rutas API nuevas en español (/api/deteccion/...)</w:t>
            </w:r>
            <w:r/>
          </w:p>
        </w:tc>
        <w:tc>
          <w:tcPr>
            <w:tcBorders/>
            <w:tcW w:w="51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Usar /api/detection/... y permisos detection.view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Crear un backend-mobile aparte “por velocidad”</w:t>
            </w:r>
            <w:r/>
          </w:p>
        </w:tc>
        <w:tc>
          <w:tcPr>
            <w:tcBorders/>
            <w:tcW w:w="51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Extender el dominio en idec-erp-back (sección 7)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Meter el proyecto Flutter dentro de idec-erp-front</w:t>
            </w:r>
            <w:r/>
          </w:p>
        </w:tc>
        <w:tc>
          <w:tcPr>
            <w:tcBorders/>
            <w:tcW w:w="51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Repo propio + consumo de /api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Apuntar GIS a idec-alcaldia</w:t>
            </w:r>
            <w:r/>
          </w:p>
        </w:tc>
        <w:tc>
          <w:tcPr>
            <w:tcBorders/>
            <w:tcW w:w="51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Usar idec_erp (PostGIS + schemas detection*)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Mutar SISCAT desde el ERP</w:t>
            </w:r>
            <w:r/>
          </w:p>
        </w:tc>
        <w:tc>
          <w:tcPr>
            <w:tcBorders/>
            <w:tcW w:w="51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Solo lectura vía CATASTRO_DB_URL / scripts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Asumir que create_all crea schemas GIS</w:t>
            </w:r>
            <w:r/>
          </w:p>
        </w:tc>
        <w:tc>
          <w:tcPr>
            <w:tcBorders/>
            <w:tcW w:w="51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DDL SQL + script _create_idec_erp_db.py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Renombrar tablas BD en el mismo PR que una feature</w:t>
            </w:r>
            <w:r/>
          </w:p>
        </w:tc>
        <w:tc>
          <w:tcPr>
            <w:tcBorders/>
            <w:tcW w:w="51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Migración ALTER aparte + LEGACY_SCHEMA_MAP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Cambiar paths del motor GPU desde el ERP</w:t>
            </w:r>
            <w:r/>
          </w:p>
        </w:tc>
        <w:tc>
          <w:tcPr>
            <w:tcBorders/>
            <w:tcW w:w="51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/>
                <w:sz w:val="18"/>
              </w:rPr>
              <w:t xml:space="preserve">Solo BFF /api/detection/engine; motor intacto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54"/>
        <w:pBdr/>
        <w:spacing/>
        <w:ind/>
        <w:rPr/>
      </w:pPr>
      <w:r>
        <w:rPr>
          <w:color w:val="1e3a5f"/>
        </w:rPr>
        <w:t xml:space="preserve">16. Referencias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Código web: idec-erp-front, idec-erp-back (master).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Guía (este DOCX): BackendVisionComputadora/docs/Guia_Desarrollo_IDEC_ERP.docx (también en Escritorio local al regenerar).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Generador: scripts/_gen_guia_desarrollo_idec_docx.py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API móvil de capturas: app/domains/geoextraction/presentation/endpoints/captures.py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UI web que consume móvil: src/domains/geoextraction/components/MobileCaptures.jsx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DDL canónico: docs/SCHEMA_IDEC_ERP.sql; creación: scripts/_create_idec_erp_db.py.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Manual BD: docs/MANUAL_BD_IDEC_ERP.md; apps ERP: docs/MANUAL_DESARROLLO_APLICACIONES_ERP.md.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API detección (desarrolladores): docs/API_DETECCION_CONSTRUCCIONES_DESARROLLADOR.pdf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Swagger motor: http://10.0.0.30:8100/docs</w:t>
      </w:r>
      <w:r/>
    </w:p>
    <w:p>
      <w:pPr>
        <w:pStyle w:val="688"/>
        <w:pBdr/>
        <w:spacing/>
        <w:ind/>
        <w:rPr/>
      </w:pPr>
      <w:r>
        <w:rPr>
          <w:rFonts w:ascii="Calibri" w:hAnsi="Calibri" w:eastAsia="Calibri"/>
        </w:rPr>
        <w:t xml:space="preserve">README del front: estructura y scripts.</w:t>
      </w:r>
      <w:r/>
    </w:p>
    <w:p>
      <w:pPr>
        <w:pBdr/>
        <w:spacing w:after="160"/>
        <w:ind/>
        <w:rPr/>
      </w:pPr>
      <w:r/>
      <w:r/>
    </w:p>
    <w:p>
      <w:pPr>
        <w:pBdr/>
        <w:spacing w:after="160"/>
        <w:ind/>
        <w:rPr/>
      </w:pPr>
      <w:r>
        <w:rPr>
          <w:rFonts w:ascii="Calibri" w:hAnsi="Calibri" w:eastAsia="Calibri"/>
          <w:b/>
          <w:sz w:val="20"/>
        </w:rPr>
        <w:t xml:space="preserve">Fin del documento · Guía de Desarrollo IDEC ERP · 2026-09-15</w:t>
      </w:r>
      <w:r/>
    </w:p>
    <w:p>
      <w:pPr>
        <w:pBdr/>
        <w:spacing w:after="160"/>
        <w:ind/>
        <w:rPr/>
      </w:pPr>
      <w:r>
        <w:rPr>
          <w:rFonts w:ascii="Calibri" w:hAnsi="Calibri" w:eastAsia="Calibri"/>
          <w:i/>
          <w:sz w:val="20"/>
        </w:rPr>
        <w:t xml:space="preserve">Documento vivo: actualizarlo cuando cambie la arquitectura o las convenciones acordadas por el equipo.</w:t>
      </w:r>
      <w:r/>
    </w:p>
    <w:sectPr>
      <w:footnotePr/>
      <w:endnotePr/>
      <w:type w:val="nextPage"/>
      <w:pgSz w:h="15840" w:orient="portrait" w:w="12240"/>
      <w:pgMar w:top="1134" w:right="1247" w:bottom="1134" w:left="124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20202030204"/>
  </w:font>
  <w:font w:name="Calibri">
    <w:panose1 w:val="020F05020202040302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693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692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690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689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691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688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66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49">
    <w:name w:val="Heading 1 Char"/>
    <w:basedOn w:val="663"/>
    <w:link w:val="6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63"/>
    <w:link w:val="6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63"/>
    <w:link w:val="6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63"/>
    <w:link w:val="65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63"/>
    <w:link w:val="6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63"/>
    <w:link w:val="65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63"/>
    <w:link w:val="66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63"/>
    <w:link w:val="6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63"/>
    <w:link w:val="6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663"/>
    <w:link w:val="67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663"/>
    <w:link w:val="67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3">
    <w:name w:val="Quote Char"/>
    <w:basedOn w:val="663"/>
    <w:link w:val="69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7">
    <w:name w:val="Intense Quote Char"/>
    <w:basedOn w:val="663"/>
    <w:link w:val="71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6">
    <w:name w:val="Header Char"/>
    <w:basedOn w:val="663"/>
    <w:link w:val="666"/>
    <w:uiPriority w:val="99"/>
    <w:pPr>
      <w:pBdr/>
      <w:spacing/>
      <w:ind/>
    </w:pPr>
  </w:style>
  <w:style w:type="character" w:styleId="178">
    <w:name w:val="Footer Char"/>
    <w:basedOn w:val="663"/>
    <w:link w:val="668"/>
    <w:uiPriority w:val="99"/>
    <w:pPr>
      <w:pBdr/>
      <w:spacing/>
      <w:ind/>
    </w:pPr>
  </w:style>
  <w:style w:type="paragraph" w:styleId="180">
    <w:name w:val="footnote text"/>
    <w:basedOn w:val="653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63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63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53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63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63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6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8">
    <w:name w:val="table of figures"/>
    <w:basedOn w:val="653"/>
    <w:next w:val="653"/>
    <w:uiPriority w:val="99"/>
    <w:unhideWhenUsed/>
    <w:pPr>
      <w:pBdr/>
      <w:spacing w:after="0" w:afterAutospacing="0"/>
      <w:ind/>
    </w:pPr>
  </w:style>
  <w:style w:type="paragraph" w:styleId="653" w:default="1">
    <w:name w:val="Normal"/>
    <w:qFormat/>
    <w:pPr>
      <w:pBdr/>
      <w:spacing/>
      <w:ind/>
    </w:pPr>
  </w:style>
  <w:style w:type="paragraph" w:styleId="654">
    <w:name w:val="Heading 1"/>
    <w:basedOn w:val="653"/>
    <w:next w:val="653"/>
    <w:link w:val="671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55">
    <w:name w:val="Heading 2"/>
    <w:basedOn w:val="653"/>
    <w:next w:val="653"/>
    <w:link w:val="672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56">
    <w:name w:val="Heading 3"/>
    <w:basedOn w:val="653"/>
    <w:next w:val="653"/>
    <w:link w:val="673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57">
    <w:name w:val="Heading 4"/>
    <w:basedOn w:val="653"/>
    <w:next w:val="653"/>
    <w:link w:val="701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58">
    <w:name w:val="Heading 5"/>
    <w:basedOn w:val="653"/>
    <w:next w:val="653"/>
    <w:link w:val="702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59">
    <w:name w:val="Heading 6"/>
    <w:basedOn w:val="653"/>
    <w:next w:val="653"/>
    <w:link w:val="703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60">
    <w:name w:val="Heading 7"/>
    <w:basedOn w:val="653"/>
    <w:next w:val="653"/>
    <w:link w:val="704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661">
    <w:name w:val="Heading 8"/>
    <w:basedOn w:val="653"/>
    <w:next w:val="653"/>
    <w:link w:val="705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662">
    <w:name w:val="Heading 9"/>
    <w:basedOn w:val="653"/>
    <w:next w:val="653"/>
    <w:link w:val="706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663" w:default="1">
    <w:name w:val="Default Paragraph Font"/>
    <w:uiPriority w:val="1"/>
    <w:semiHidden/>
    <w:unhideWhenUsed/>
    <w:pPr>
      <w:pBdr/>
      <w:spacing/>
      <w:ind/>
    </w:pPr>
  </w:style>
  <w:style w:type="table" w:styleId="66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5" w:default="1">
    <w:name w:val="No List"/>
    <w:uiPriority w:val="99"/>
    <w:semiHidden/>
    <w:unhideWhenUsed/>
    <w:pPr>
      <w:pBdr/>
      <w:spacing/>
      <w:ind/>
    </w:pPr>
  </w:style>
  <w:style w:type="paragraph" w:styleId="666">
    <w:name w:val="Header"/>
    <w:basedOn w:val="653"/>
    <w:link w:val="66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67" w:customStyle="1">
    <w:name w:val="Encabezado Car"/>
    <w:basedOn w:val="663"/>
    <w:link w:val="666"/>
    <w:uiPriority w:val="99"/>
    <w:pPr>
      <w:pBdr/>
      <w:spacing/>
      <w:ind/>
    </w:pPr>
  </w:style>
  <w:style w:type="paragraph" w:styleId="668">
    <w:name w:val="Footer"/>
    <w:basedOn w:val="653"/>
    <w:link w:val="669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69" w:customStyle="1">
    <w:name w:val="Pie de página Car"/>
    <w:basedOn w:val="663"/>
    <w:link w:val="668"/>
    <w:uiPriority w:val="99"/>
    <w:pPr>
      <w:pBdr/>
      <w:spacing/>
      <w:ind/>
    </w:pPr>
  </w:style>
  <w:style w:type="paragraph" w:styleId="670">
    <w:name w:val="No Spacing"/>
    <w:uiPriority w:val="1"/>
    <w:qFormat/>
    <w:pPr>
      <w:pBdr/>
      <w:spacing w:after="0" w:line="240" w:lineRule="auto"/>
      <w:ind/>
    </w:pPr>
  </w:style>
  <w:style w:type="character" w:styleId="671" w:customStyle="1">
    <w:name w:val="Título 1 Car"/>
    <w:basedOn w:val="663"/>
    <w:link w:val="65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672" w:customStyle="1">
    <w:name w:val="Título 2 Car"/>
    <w:basedOn w:val="663"/>
    <w:link w:val="65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673" w:customStyle="1">
    <w:name w:val="Título 3 Car"/>
    <w:basedOn w:val="663"/>
    <w:link w:val="65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74">
    <w:name w:val="Title"/>
    <w:basedOn w:val="653"/>
    <w:next w:val="653"/>
    <w:link w:val="675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675" w:customStyle="1">
    <w:name w:val="Título Car"/>
    <w:basedOn w:val="663"/>
    <w:link w:val="674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676">
    <w:name w:val="Subtitle"/>
    <w:basedOn w:val="653"/>
    <w:next w:val="653"/>
    <w:link w:val="677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677" w:customStyle="1">
    <w:name w:val="Subtítulo Car"/>
    <w:basedOn w:val="663"/>
    <w:link w:val="676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678">
    <w:name w:val="List Paragraph"/>
    <w:basedOn w:val="653"/>
    <w:uiPriority w:val="34"/>
    <w:qFormat/>
    <w:pPr>
      <w:pBdr/>
      <w:spacing/>
      <w:ind w:left="720"/>
      <w:contextualSpacing w:val="true"/>
    </w:pPr>
  </w:style>
  <w:style w:type="paragraph" w:styleId="679">
    <w:name w:val="Body Text"/>
    <w:basedOn w:val="653"/>
    <w:link w:val="680"/>
    <w:uiPriority w:val="99"/>
    <w:unhideWhenUsed/>
    <w:pPr>
      <w:pBdr/>
      <w:spacing w:after="120"/>
      <w:ind/>
    </w:pPr>
  </w:style>
  <w:style w:type="character" w:styleId="680" w:customStyle="1">
    <w:name w:val="Texto independiente Car"/>
    <w:basedOn w:val="663"/>
    <w:link w:val="679"/>
    <w:uiPriority w:val="99"/>
    <w:pPr>
      <w:pBdr/>
      <w:spacing/>
      <w:ind/>
    </w:pPr>
  </w:style>
  <w:style w:type="paragraph" w:styleId="681">
    <w:name w:val="Body Text 2"/>
    <w:basedOn w:val="653"/>
    <w:link w:val="682"/>
    <w:uiPriority w:val="99"/>
    <w:unhideWhenUsed/>
    <w:pPr>
      <w:pBdr/>
      <w:spacing w:after="120" w:line="480" w:lineRule="auto"/>
      <w:ind/>
    </w:pPr>
  </w:style>
  <w:style w:type="character" w:styleId="682" w:customStyle="1">
    <w:name w:val="Texto independiente 2 Car"/>
    <w:basedOn w:val="663"/>
    <w:link w:val="681"/>
    <w:uiPriority w:val="99"/>
    <w:pPr>
      <w:pBdr/>
      <w:spacing/>
      <w:ind/>
    </w:pPr>
  </w:style>
  <w:style w:type="paragraph" w:styleId="683">
    <w:name w:val="Body Text 3"/>
    <w:basedOn w:val="653"/>
    <w:link w:val="684"/>
    <w:uiPriority w:val="99"/>
    <w:unhideWhenUsed/>
    <w:pPr>
      <w:pBdr/>
      <w:spacing w:after="120"/>
      <w:ind/>
    </w:pPr>
    <w:rPr>
      <w:sz w:val="16"/>
      <w:szCs w:val="16"/>
    </w:rPr>
  </w:style>
  <w:style w:type="character" w:styleId="684" w:customStyle="1">
    <w:name w:val="Texto independiente 3 Car"/>
    <w:basedOn w:val="663"/>
    <w:link w:val="683"/>
    <w:uiPriority w:val="99"/>
    <w:pPr>
      <w:pBdr/>
      <w:spacing/>
      <w:ind/>
    </w:pPr>
    <w:rPr>
      <w:sz w:val="16"/>
      <w:szCs w:val="16"/>
    </w:rPr>
  </w:style>
  <w:style w:type="paragraph" w:styleId="685">
    <w:name w:val="List"/>
    <w:basedOn w:val="653"/>
    <w:uiPriority w:val="99"/>
    <w:unhideWhenUsed/>
    <w:pPr>
      <w:pBdr/>
      <w:spacing/>
      <w:ind w:hanging="360" w:left="360"/>
      <w:contextualSpacing w:val="true"/>
    </w:pPr>
  </w:style>
  <w:style w:type="paragraph" w:styleId="686">
    <w:name w:val="List 2"/>
    <w:basedOn w:val="653"/>
    <w:uiPriority w:val="99"/>
    <w:unhideWhenUsed/>
    <w:pPr>
      <w:pBdr/>
      <w:spacing/>
      <w:ind w:hanging="360" w:left="720"/>
      <w:contextualSpacing w:val="true"/>
    </w:pPr>
  </w:style>
  <w:style w:type="paragraph" w:styleId="687">
    <w:name w:val="List 3"/>
    <w:basedOn w:val="653"/>
    <w:uiPriority w:val="99"/>
    <w:unhideWhenUsed/>
    <w:pPr>
      <w:pBdr/>
      <w:spacing/>
      <w:ind w:hanging="360" w:left="1080"/>
      <w:contextualSpacing w:val="true"/>
    </w:pPr>
  </w:style>
  <w:style w:type="paragraph" w:styleId="688">
    <w:name w:val="List Bullet"/>
    <w:basedOn w:val="653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689">
    <w:name w:val="List Bullet 2"/>
    <w:basedOn w:val="653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690">
    <w:name w:val="List Bullet 3"/>
    <w:basedOn w:val="653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691">
    <w:name w:val="List Number"/>
    <w:basedOn w:val="653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692">
    <w:name w:val="List Number 2"/>
    <w:basedOn w:val="653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693">
    <w:name w:val="List Number 3"/>
    <w:basedOn w:val="653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694">
    <w:name w:val="List Continue"/>
    <w:basedOn w:val="653"/>
    <w:uiPriority w:val="99"/>
    <w:unhideWhenUsed/>
    <w:pPr>
      <w:pBdr/>
      <w:spacing w:after="120"/>
      <w:ind w:left="360"/>
      <w:contextualSpacing w:val="true"/>
    </w:pPr>
  </w:style>
  <w:style w:type="paragraph" w:styleId="695">
    <w:name w:val="List Continue 2"/>
    <w:basedOn w:val="653"/>
    <w:uiPriority w:val="99"/>
    <w:unhideWhenUsed/>
    <w:pPr>
      <w:pBdr/>
      <w:spacing w:after="120"/>
      <w:ind w:left="720"/>
      <w:contextualSpacing w:val="true"/>
    </w:pPr>
  </w:style>
  <w:style w:type="paragraph" w:styleId="696">
    <w:name w:val="List Continue 3"/>
    <w:basedOn w:val="653"/>
    <w:uiPriority w:val="99"/>
    <w:unhideWhenUsed/>
    <w:pPr>
      <w:pBdr/>
      <w:spacing w:after="120"/>
      <w:ind w:left="1080"/>
      <w:contextualSpacing w:val="true"/>
    </w:pPr>
  </w:style>
  <w:style w:type="paragraph" w:styleId="697">
    <w:name w:val="macro"/>
    <w:link w:val="698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698" w:customStyle="1">
    <w:name w:val="Texto macro Car"/>
    <w:basedOn w:val="663"/>
    <w:link w:val="697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699">
    <w:name w:val="Quote"/>
    <w:basedOn w:val="653"/>
    <w:next w:val="653"/>
    <w:link w:val="700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00" w:customStyle="1">
    <w:name w:val="Cita Car"/>
    <w:basedOn w:val="663"/>
    <w:link w:val="699"/>
    <w:uiPriority w:val="29"/>
    <w:pPr>
      <w:pBdr/>
      <w:spacing/>
      <w:ind/>
    </w:pPr>
    <w:rPr>
      <w:i/>
      <w:iCs/>
      <w:color w:val="000000" w:themeColor="text1"/>
    </w:rPr>
  </w:style>
  <w:style w:type="character" w:styleId="701" w:customStyle="1">
    <w:name w:val="Título 4 Car"/>
    <w:basedOn w:val="663"/>
    <w:link w:val="65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02" w:customStyle="1">
    <w:name w:val="Título 5 Car"/>
    <w:basedOn w:val="663"/>
    <w:link w:val="65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03" w:customStyle="1">
    <w:name w:val="Título 6 Car"/>
    <w:basedOn w:val="663"/>
    <w:link w:val="65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04" w:customStyle="1">
    <w:name w:val="Título 7 Car"/>
    <w:basedOn w:val="663"/>
    <w:link w:val="66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05" w:customStyle="1">
    <w:name w:val="Título 8 Car"/>
    <w:basedOn w:val="663"/>
    <w:link w:val="66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06" w:customStyle="1">
    <w:name w:val="Título 9 Car"/>
    <w:basedOn w:val="663"/>
    <w:link w:val="66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07">
    <w:name w:val="Caption"/>
    <w:basedOn w:val="653"/>
    <w:next w:val="653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08">
    <w:name w:val="Strong"/>
    <w:basedOn w:val="663"/>
    <w:uiPriority w:val="22"/>
    <w:qFormat/>
    <w:pPr>
      <w:pBdr/>
      <w:spacing/>
      <w:ind/>
    </w:pPr>
    <w:rPr>
      <w:b/>
      <w:bCs/>
    </w:rPr>
  </w:style>
  <w:style w:type="character" w:styleId="709">
    <w:name w:val="Emphasis"/>
    <w:basedOn w:val="663"/>
    <w:uiPriority w:val="20"/>
    <w:qFormat/>
    <w:pPr>
      <w:pBdr/>
      <w:spacing/>
      <w:ind/>
    </w:pPr>
    <w:rPr>
      <w:i/>
      <w:iCs/>
    </w:rPr>
  </w:style>
  <w:style w:type="paragraph" w:styleId="710">
    <w:name w:val="Intense Quote"/>
    <w:basedOn w:val="653"/>
    <w:next w:val="653"/>
    <w:link w:val="711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11" w:customStyle="1">
    <w:name w:val="Cita destacada Car"/>
    <w:basedOn w:val="663"/>
    <w:link w:val="710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12">
    <w:name w:val="Subtle Emphasis"/>
    <w:basedOn w:val="66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13">
    <w:name w:val="Intense Emphasis"/>
    <w:basedOn w:val="66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14">
    <w:name w:val="Subtle Reference"/>
    <w:basedOn w:val="66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15">
    <w:name w:val="Intense Reference"/>
    <w:basedOn w:val="66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16">
    <w:name w:val="Book Title"/>
    <w:basedOn w:val="66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17">
    <w:name w:val="TOC Heading"/>
    <w:basedOn w:val="654"/>
    <w:next w:val="653"/>
    <w:uiPriority w:val="39"/>
    <w:semiHidden/>
    <w:unhideWhenUsed/>
    <w:qFormat/>
    <w:pPr>
      <w:pBdr/>
      <w:spacing/>
      <w:ind/>
      <w:outlineLvl w:val="9"/>
    </w:pPr>
  </w:style>
  <w:style w:type="table" w:styleId="718">
    <w:name w:val="Table Grid"/>
    <w:basedOn w:val="664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Light Shading"/>
    <w:basedOn w:val="66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Light Shading Accent 1"/>
    <w:basedOn w:val="66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ght Shading Accent 2"/>
    <w:basedOn w:val="66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ght Shading Accent 3"/>
    <w:basedOn w:val="66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ght Shading Accent 4"/>
    <w:basedOn w:val="66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ght Shading Accent 5"/>
    <w:basedOn w:val="66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ght Shading Accent 6"/>
    <w:basedOn w:val="66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ght List"/>
    <w:basedOn w:val="664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ght List Accent 1"/>
    <w:basedOn w:val="664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ght List Accent 2"/>
    <w:basedOn w:val="664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ght List Accent 3"/>
    <w:basedOn w:val="664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ght List Accent 4"/>
    <w:basedOn w:val="664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ght List Accent 5"/>
    <w:basedOn w:val="664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ght List Accent 6"/>
    <w:basedOn w:val="664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ght Grid"/>
    <w:basedOn w:val="664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ght Grid Accent 1"/>
    <w:basedOn w:val="664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ght Grid Accent 2"/>
    <w:basedOn w:val="664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ght Grid Accent 3"/>
    <w:basedOn w:val="664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ght Grid Accent 4"/>
    <w:basedOn w:val="664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ght Grid Accent 5"/>
    <w:basedOn w:val="664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ght Grid Accent 6"/>
    <w:basedOn w:val="664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Medium Shading 1"/>
    <w:basedOn w:val="664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Medium Shading 1 Accent 1"/>
    <w:basedOn w:val="664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Medium Shading 1 Accent 2"/>
    <w:basedOn w:val="664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Medium Shading 1 Accent 3"/>
    <w:basedOn w:val="664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Medium Shading 1 Accent 4"/>
    <w:basedOn w:val="664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Medium Shading 1 Accent 5"/>
    <w:basedOn w:val="664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Medium Shading 1 Accent 6"/>
    <w:basedOn w:val="664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Medium Shading 2"/>
    <w:basedOn w:val="664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Medium Shading 2 Accent 1"/>
    <w:basedOn w:val="664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Medium Shading 2 Accent 2"/>
    <w:basedOn w:val="664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Medium Shading 2 Accent 3"/>
    <w:basedOn w:val="664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Medium Shading 2 Accent 4"/>
    <w:basedOn w:val="664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Medium Shading 2 Accent 5"/>
    <w:basedOn w:val="664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Medium Shading 2 Accent 6"/>
    <w:basedOn w:val="664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Medium List 1"/>
    <w:basedOn w:val="66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Medium List 1 Accent 1"/>
    <w:basedOn w:val="66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Medium List 1 Accent 2"/>
    <w:basedOn w:val="66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Medium List 1 Accent 3"/>
    <w:basedOn w:val="66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Medium List 1 Accent 4"/>
    <w:basedOn w:val="66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Medium List 1 Accent 5"/>
    <w:basedOn w:val="66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Medium List 1 Accent 6"/>
    <w:basedOn w:val="66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Medium List 2"/>
    <w:basedOn w:val="66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Medium List 2 Accent 1"/>
    <w:basedOn w:val="66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Medium List 2 Accent 2"/>
    <w:basedOn w:val="66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Medium List 2 Accent 3"/>
    <w:basedOn w:val="66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Medium List 2 Accent 4"/>
    <w:basedOn w:val="66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Medium List 2 Accent 5"/>
    <w:basedOn w:val="66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Medium List 2 Accent 6"/>
    <w:basedOn w:val="66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Medium Grid 1"/>
    <w:basedOn w:val="664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Medium Grid 1 Accent 1"/>
    <w:basedOn w:val="664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Medium Grid 1 Accent 2"/>
    <w:basedOn w:val="664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Medium Grid 1 Accent 3"/>
    <w:basedOn w:val="664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Medium Grid 1 Accent 4"/>
    <w:basedOn w:val="664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Medium Grid 1 Accent 5"/>
    <w:basedOn w:val="664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Medium Grid 1 Accent 6"/>
    <w:basedOn w:val="664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Grid 2"/>
    <w:basedOn w:val="66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Grid 2 Accent 1"/>
    <w:basedOn w:val="66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Grid 2 Accent 2"/>
    <w:basedOn w:val="66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Grid 2 Accent 3"/>
    <w:basedOn w:val="66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Grid 2 Accent 4"/>
    <w:basedOn w:val="66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Grid 2 Accent 5"/>
    <w:basedOn w:val="66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Grid 2 Accent 6"/>
    <w:basedOn w:val="66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Grid 3"/>
    <w:basedOn w:val="664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Grid 3 Accent 1"/>
    <w:basedOn w:val="664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Grid 3 Accent 2"/>
    <w:basedOn w:val="664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Grid 3 Accent 3"/>
    <w:basedOn w:val="664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Grid 3 Accent 4"/>
    <w:basedOn w:val="664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Grid 3 Accent 5"/>
    <w:basedOn w:val="664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Grid 3 Accent 6"/>
    <w:basedOn w:val="664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Dark List"/>
    <w:basedOn w:val="66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Dark List Accent 1"/>
    <w:basedOn w:val="66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Dark List Accent 2"/>
    <w:basedOn w:val="66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Dark List Accent 3"/>
    <w:basedOn w:val="66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Dark List Accent 4"/>
    <w:basedOn w:val="66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Dark List Accent 5"/>
    <w:basedOn w:val="66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Dark List Accent 6"/>
    <w:basedOn w:val="66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Colorful Shading"/>
    <w:basedOn w:val="66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Colorful Shading Accent 1"/>
    <w:basedOn w:val="66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Colorful Shading Accent 2"/>
    <w:basedOn w:val="66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Colorful Shading Accent 3"/>
    <w:basedOn w:val="66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Colorful Shading Accent 4"/>
    <w:basedOn w:val="66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Colorful Shading Accent 5"/>
    <w:basedOn w:val="66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Colorful Shading Accent 6"/>
    <w:basedOn w:val="66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Colorful List"/>
    <w:basedOn w:val="66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Colorful List Accent 1"/>
    <w:basedOn w:val="66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Colorful List Accent 2"/>
    <w:basedOn w:val="66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Colorful List Accent 3"/>
    <w:basedOn w:val="66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Colorful List Accent 4"/>
    <w:basedOn w:val="66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Colorful List Accent 5"/>
    <w:basedOn w:val="66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Colorful List Accent 6"/>
    <w:basedOn w:val="66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Colorful Grid"/>
    <w:basedOn w:val="66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Colorful Grid Accent 1"/>
    <w:basedOn w:val="66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Colorful Grid Accent 2"/>
    <w:basedOn w:val="66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Colorful Grid Accent 3"/>
    <w:basedOn w:val="66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Colorful Grid Accent 4"/>
    <w:basedOn w:val="66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Colorful Grid Accent 5"/>
    <w:basedOn w:val="66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Colorful Grid Accent 6"/>
    <w:basedOn w:val="66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ONLYOFFICE/8.1.1.26</Application>
  <Company/>
  <DocSecurity>0</DocSecurity>
  <HyperlinkBase/>
  <HyperlinksChanged>false</HyperlinksChanged>
  <LinksUpToDate>false</LinksUpToDate>
  <Manager/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Martín Orellana Olivera</cp:lastModifiedBy>
  <cp:revision>4</cp:revision>
  <dcterms:created xsi:type="dcterms:W3CDTF">2013-12-23T23:15:00Z</dcterms:created>
  <dcterms:modified xsi:type="dcterms:W3CDTF">2026-09-16T14:44:54Z</dcterms:modified>
  <cp:category/>
</cp:coreProperties>
</file>