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Highlights</w:t>
      </w:r>
    </w:p>
    <w:p>
      <w:r>
        <w:rPr>
          <w:b/>
        </w:rPr>
        <w:t xml:space="preserve">Journal: </w:t>
      </w:r>
      <w:r>
        <w:t>Expert Systems with Applications</w:t>
      </w:r>
    </w:p>
    <w:p>
      <w:r>
        <w:rPr>
          <w:b/>
        </w:rPr>
        <w:t xml:space="preserve">Manuscript: </w:t>
      </w:r>
      <w:r>
        <w:t>Time-Series-Driven Coordination of Collaborative Metaheuristics via Dynamic Time Warping</w:t>
      </w:r>
    </w:p>
    <w:p>
      <w:pPr>
        <w:pStyle w:val="Heading1"/>
      </w:pPr>
      <w:r>
        <w:t>Highlights</w:t>
      </w:r>
    </w:p>
    <w:p>
      <w:pPr>
        <w:pStyle w:val="ListBullet"/>
      </w:pPr>
      <w:r>
        <w:t>Fitness trajectories provide time-series feedback for online search control.</w:t>
      </w:r>
    </w:p>
    <w:p>
      <w:pPr>
        <w:pStyle w:val="ListBullet"/>
      </w:pPr>
      <w:r>
        <w:t>Temporal alignment distinguishes progress from persistent plateaus.</w:t>
      </w:r>
    </w:p>
    <w:p>
      <w:pPr>
        <w:pStyle w:val="ListBullet"/>
      </w:pPr>
      <w:r>
        <w:t>Search-method changes preserve the best solution found so far.</w:t>
      </w:r>
    </w:p>
    <w:p>
      <w:pPr>
        <w:pStyle w:val="ListBullet"/>
      </w:pPr>
      <w:r>
        <w:t>Both variants lead aggregate rankings on continuous benchmarks.</w:t>
      </w:r>
    </w:p>
    <w:p>
      <w:pPr>
        <w:pStyle w:val="ListBullet"/>
      </w:pPr>
      <w:r>
        <w:t>Green hydrogen designs meet all constraints in 31 independent runs.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