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pPr>
      <w:r>
        <w:rPr>
          <w:rFonts w:ascii="Georgia" w:cs="Georgia" w:eastAsia="Georgia" w:hAnsi="Georgia"/>
          <w:b w:val="false"/>
          <w:bCs w:val="false"/>
          <w:i w:val="false"/>
          <w:iCs w:val="false"/>
          <w:sz w:val="22"/>
          <w:szCs w:val="22"/>
        </w:rPr>
        <w:t xml:space="preserve">OSLO · JUNI 2026</w:t>
      </w:r>
    </w:p>
    <w:p>
      <w:pPr>
        <w:spacing w:after="20" w:before="0" w:line="276"/>
      </w:pPr>
      <w:r>
        <w:rPr>
          <w:rFonts w:ascii="Georgia" w:cs="Georgia" w:eastAsia="Georgia" w:hAnsi="Georgia"/>
          <w:b/>
          <w:bCs/>
          <w:i w:val="false"/>
          <w:iCs w:val="false"/>
          <w:sz w:val="22"/>
          <w:szCs w:val="22"/>
        </w:rPr>
        <w:t xml:space="preserve">Til Steinar Killi</w:t>
      </w:r>
    </w:p>
    <w:p>
      <w:pPr>
        <w:spacing w:after="220" w:before="0" w:line="276"/>
      </w:pPr>
      <w:r>
        <w:rPr>
          <w:rFonts w:ascii="Georgia" w:cs="Georgia" w:eastAsia="Georgia" w:hAnsi="Georgia"/>
          <w:b w:val="false"/>
          <w:bCs w:val="false"/>
          <w:i w:val="false"/>
          <w:iCs w:val="false"/>
          <w:sz w:val="22"/>
          <w:szCs w:val="22"/>
        </w:rPr>
        <w:t xml:space="preserve">instituttleiar ved Institutt for design, Arkitektur- og designhøgskolen i Oslo</w:t>
      </w:r>
    </w:p>
    <w:p>
      <w:pPr>
        <w:spacing w:after="150" w:before="0" w:line="276"/>
      </w:pPr>
      <w:r>
        <w:rPr>
          <w:rFonts w:ascii="Georgia" w:cs="Georgia" w:eastAsia="Georgia" w:hAnsi="Georgia"/>
          <w:b w:val="false"/>
          <w:bCs w:val="false"/>
          <w:i w:val="false"/>
          <w:iCs w:val="false"/>
          <w:sz w:val="22"/>
          <w:szCs w:val="22"/>
        </w:rPr>
        <w:t xml:space="preserve">Eg skriv fordi AHO no skuldar svar på eitt spørsmål, og berre eitt: kva lærer skulen studentane sine å seie nei til?</w:t>
      </w:r>
    </w:p>
    <w:p>
      <w:pPr>
        <w:spacing w:after="150" w:before="0" w:line="276"/>
      </w:pPr>
      <w:r>
        <w:rPr>
          <w:rFonts w:ascii="Georgia" w:cs="Georgia" w:eastAsia="Georgia" w:hAnsi="Georgia"/>
          <w:b w:val="false"/>
          <w:bCs w:val="false"/>
          <w:i w:val="false"/>
          <w:iCs w:val="false"/>
          <w:sz w:val="22"/>
          <w:szCs w:val="22"/>
        </w:rPr>
        <w:t xml:space="preserve">Ikkje Kongsberg åleine. I september i fjor tok instituttet ditt designstudentane til C4, antiterroravdelinga ved politiet i Amsterdam, og heilt ukritisk. På førehand fekk dei beskjed: «ask proactively, and they might show you a live demo!». Demoen var av Raffinaderij, overvakingsproduktet Palantir leverer, og som Nederland ein månad tidlegare hadde måtta vedgå at staten brukte til masseovervaking av eiga befolkning.</w:t>
      </w:r>
    </w:p>
    <w:p>
      <w:pPr>
        <w:spacing w:after="150" w:before="0" w:line="276"/>
      </w:pPr>
      <w:r>
        <w:rPr>
          <w:rFonts w:ascii="Georgia" w:cs="Georgia" w:eastAsia="Georgia" w:hAnsi="Georgia"/>
          <w:b w:val="false"/>
          <w:bCs w:val="false"/>
          <w:i w:val="false"/>
          <w:iCs w:val="false"/>
          <w:sz w:val="22"/>
          <w:szCs w:val="22"/>
        </w:rPr>
        <w:t xml:space="preserve">Tenk over kva studentane vart oppmoda til å be om. Det er det same politiet som under okkupasjonen, saman med Gestapo, stilte mennene som arresterte </w:t>
      </w:r>
      <w:hyperlink w:history="1" r:id="rIdgyofjced_jzkpkwri140r">
        <w:r>
          <w:rPr>
            <w:rStyle w:val="Hyperlink"/>
            <w:rFonts w:ascii="Georgia" w:cs="Georgia" w:eastAsia="Georgia" w:hAnsi="Georgia"/>
            <w:b w:val="false"/>
            <w:bCs w:val="false"/>
            <w:i w:val="false"/>
            <w:iCs w:val="false"/>
            <w:sz w:val="22"/>
            <w:szCs w:val="22"/>
          </w:rPr>
          <w:t xml:space="preserve">Anne Frank</w:t>
        </w:r>
      </w:hyperlink>
      <w:r>
        <w:rPr>
          <w:rFonts w:ascii="Georgia" w:cs="Georgia" w:eastAsia="Georgia" w:hAnsi="Georgia"/>
          <w:b w:val="false"/>
          <w:bCs w:val="false"/>
          <w:i w:val="false"/>
          <w:iCs w:val="false"/>
          <w:sz w:val="22"/>
          <w:szCs w:val="22"/>
        </w:rPr>
        <w:t xml:space="preserve">. Og dei same systema, dei Palantir leverer, massakrerte </w:t>
      </w:r>
      <w:hyperlink w:history="1" r:id="rIdoot0dhxkmioewuek1jswu">
        <w:r>
          <w:rPr>
            <w:rStyle w:val="Hyperlink"/>
            <w:rFonts w:ascii="Georgia" w:cs="Georgia" w:eastAsia="Georgia" w:hAnsi="Georgia"/>
            <w:b w:val="false"/>
            <w:bCs w:val="false"/>
            <w:i w:val="false"/>
            <w:iCs w:val="false"/>
            <w:sz w:val="22"/>
            <w:szCs w:val="22"/>
          </w:rPr>
          <w:t xml:space="preserve">148 jenteborn</w:t>
        </w:r>
      </w:hyperlink>
      <w:r>
        <w:rPr>
          <w:rFonts w:ascii="Georgia" w:cs="Georgia" w:eastAsia="Georgia" w:hAnsi="Georgia"/>
          <w:b w:val="false"/>
          <w:bCs w:val="false"/>
          <w:i w:val="false"/>
          <w:iCs w:val="false"/>
          <w:sz w:val="22"/>
          <w:szCs w:val="22"/>
        </w:rPr>
        <w:t xml:space="preserve"> på skulen i Minab, var etter fleire rapportar med i operasjonen som </w:t>
      </w:r>
      <w:hyperlink w:history="1" r:id="rIdpeef7nemwiszoblzdk_n8">
        <w:r>
          <w:rPr>
            <w:rStyle w:val="Hyperlink"/>
            <w:rFonts w:ascii="Georgia" w:cs="Georgia" w:eastAsia="Georgia" w:hAnsi="Georgia"/>
            <w:b w:val="false"/>
            <w:bCs w:val="false"/>
            <w:i w:val="false"/>
            <w:iCs w:val="false"/>
            <w:sz w:val="22"/>
            <w:szCs w:val="22"/>
          </w:rPr>
          <w:t xml:space="preserve">kidnappa Maduro</w:t>
        </w:r>
      </w:hyperlink>
      <w:r>
        <w:rPr>
          <w:rFonts w:ascii="Georgia" w:cs="Georgia" w:eastAsia="Georgia" w:hAnsi="Georgia"/>
          <w:b w:val="false"/>
          <w:bCs w:val="false"/>
          <w:i w:val="false"/>
          <w:iCs w:val="false"/>
          <w:sz w:val="22"/>
          <w:szCs w:val="22"/>
        </w:rPr>
        <w:t xml:space="preserve">, og høyrer til infrastrukturen bak krigsbrotsverka mot sivile i Gaza, så mange at </w:t>
      </w:r>
      <w:hyperlink w:history="1" r:id="rIdypobs43vagzdhk8vatlfz">
        <w:r>
          <w:rPr>
            <w:rStyle w:val="Hyperlink"/>
            <w:rFonts w:ascii="Georgia" w:cs="Georgia" w:eastAsia="Georgia" w:hAnsi="Georgia"/>
            <w:b w:val="false"/>
            <w:bCs w:val="false"/>
            <w:i w:val="false"/>
            <w:iCs w:val="false"/>
            <w:sz w:val="22"/>
            <w:szCs w:val="22"/>
          </w:rPr>
          <w:t xml:space="preserve">FN framleis tel dei</w:t>
        </w:r>
      </w:hyperlink>
      <w:r>
        <w:rPr>
          <w:rFonts w:ascii="Georgia" w:cs="Georgia" w:eastAsia="Georgia" w:hAnsi="Georgia"/>
          <w:b w:val="false"/>
          <w:bCs w:val="false"/>
          <w:i w:val="false"/>
          <w:iCs w:val="false"/>
          <w:sz w:val="22"/>
          <w:szCs w:val="22"/>
        </w:rPr>
        <w:t xml:space="preserve">. Dette er ikkje misbruk av design. Det er design utført kompetent, og faget lærte studentane å be om å få sjå det. Det er symptom. Sjukdomen er at utdanninga ikkje eig den strukturen som skulle gjort eit slikt nei mogleg.</w:t>
      </w:r>
    </w:p>
    <w:p>
      <w:pPr>
        <w:spacing w:after="150" w:before="0" w:line="276"/>
      </w:pPr>
      <w:r>
        <w:rPr>
          <w:rFonts w:ascii="Georgia" w:cs="Georgia" w:eastAsia="Georgia" w:hAnsi="Georgia"/>
          <w:b w:val="false"/>
          <w:bCs w:val="false"/>
          <w:i w:val="false"/>
          <w:iCs w:val="false"/>
          <w:sz w:val="22"/>
          <w:szCs w:val="22"/>
        </w:rPr>
        <w:t xml:space="preserve">AHO har ikkje eit etisk organ for designutdanninga: ingen profesjon med bindande retningsliner, ingen instans som kan sanksjonere brot, ingen standard studenten faktisk vert lærd å halde seg mot. Og klima, miljø, data og makt vert ikkje lærte som krav. Dei vert lærte som tillegg: språk, intensjon, dekor.</w:t>
      </w:r>
    </w:p>
    <w:p>
      <w:pPr>
        <w:spacing w:after="150" w:before="0" w:line="276"/>
      </w:pPr>
      <w:r>
        <w:rPr>
          <w:rFonts w:ascii="Georgia" w:cs="Georgia" w:eastAsia="Georgia" w:hAnsi="Georgia"/>
          <w:b w:val="false"/>
          <w:bCs w:val="false"/>
          <w:i w:val="false"/>
          <w:iCs w:val="false"/>
          <w:sz w:val="22"/>
          <w:szCs w:val="22"/>
        </w:rPr>
        <w:t xml:space="preserve">Sjå korleis det ser ut i ei semesteroppgåve. I GK4 vart vi bedne om, mellom andre punkt, å «legge til en bærekraftshandling i designet». Les den setninga ein gong til. Berekraft er ikkje ei handling du legg oppå eit produkt etterpå, ikkje eit moralsk klistremerke på ei form som alt er avgjord. Der ligg heile faget: i den grammatikken kjem etikken alltid etter at forma er valt, som pynt, og pynt kan aldri vere eit nei. Eit nei må kunne kome før forma, og AHO har ikkje bygt nokon stad det kan kome frå.</w:t>
      </w:r>
    </w:p>
    <w:p>
      <w:pPr>
        <w:spacing w:after="150" w:before="0" w:line="276"/>
      </w:pPr>
      <w:r>
        <w:rPr>
          <w:rFonts w:ascii="Georgia" w:cs="Georgia" w:eastAsia="Georgia" w:hAnsi="Georgia"/>
          <w:b w:val="false"/>
          <w:bCs w:val="false"/>
          <w:i w:val="false"/>
          <w:iCs w:val="false"/>
          <w:sz w:val="22"/>
          <w:szCs w:val="22"/>
        </w:rPr>
        <w:t xml:space="preserve">Dette er ikkje berre intern studentkritikk. </w:t>
      </w:r>
      <w:hyperlink w:history="1" r:id="rIdwv5jji5uhe9rst7vfdhbi">
        <w:r>
          <w:rPr>
            <w:rStyle w:val="Hyperlink"/>
            <w:rFonts w:ascii="Georgia" w:cs="Georgia" w:eastAsia="Georgia" w:hAnsi="Georgia"/>
            <w:b w:val="false"/>
            <w:bCs w:val="false"/>
            <w:i w:val="false"/>
            <w:iCs w:val="false"/>
            <w:sz w:val="22"/>
            <w:szCs w:val="22"/>
          </w:rPr>
          <w:t xml:space="preserve">Forbrukarrådet skreiv 27. februar 2026</w:t>
        </w:r>
      </w:hyperlink>
      <w:r>
        <w:rPr>
          <w:rFonts w:ascii="Georgia" w:cs="Georgia" w:eastAsia="Georgia" w:hAnsi="Georgia"/>
          <w:b w:val="false"/>
          <w:bCs w:val="false"/>
          <w:i w:val="false"/>
          <w:iCs w:val="false"/>
          <w:sz w:val="22"/>
          <w:szCs w:val="22"/>
        </w:rPr>
        <w:t xml:space="preserve"> at digitale produkt og tenester blir forringa gjennom medvitne grep: brukarane blir låste inne, personvernet svekt, funksjonar fjerna eller flytta bak betaling, makta samla hjå nokre få plattformer. Det er ikkje eit randproblem for design. Det er design: grensesnitt, brukarbaner, standardar, avhengigheit, valarkitektur, mørke mønster, offentlege system, makt bygd inn i form.</w:t>
      </w:r>
    </w:p>
    <w:p>
      <w:pPr>
        <w:spacing w:after="150" w:before="0" w:line="276"/>
      </w:pPr>
      <w:r>
        <w:rPr>
          <w:rFonts w:ascii="Georgia" w:cs="Georgia" w:eastAsia="Georgia" w:hAnsi="Georgia"/>
          <w:b w:val="false"/>
          <w:bCs w:val="false"/>
          <w:i w:val="false"/>
          <w:iCs w:val="false"/>
          <w:sz w:val="22"/>
          <w:szCs w:val="22"/>
        </w:rPr>
        <w:t xml:space="preserve">Same dag bad Forbrukarrådet og 58 andre organisasjonar og ekspertar </w:t>
      </w:r>
      <w:hyperlink w:history="1" r:id="rIdvula-aahzlvitaofhfshv">
        <w:r>
          <w:rPr>
            <w:rStyle w:val="Hyperlink"/>
            <w:rFonts w:ascii="Georgia" w:cs="Georgia" w:eastAsia="Georgia" w:hAnsi="Georgia"/>
            <w:b w:val="false"/>
            <w:bCs w:val="false"/>
            <w:i w:val="false"/>
            <w:iCs w:val="false"/>
            <w:sz w:val="22"/>
            <w:szCs w:val="22"/>
          </w:rPr>
          <w:t xml:space="preserve">regjeringa</w:t>
        </w:r>
      </w:hyperlink>
      <w:r>
        <w:rPr>
          <w:rFonts w:ascii="Georgia" w:cs="Georgia" w:eastAsia="Georgia" w:hAnsi="Georgia"/>
          <w:b w:val="false"/>
          <w:bCs w:val="false"/>
          <w:i w:val="false"/>
          <w:iCs w:val="false"/>
          <w:sz w:val="22"/>
          <w:szCs w:val="22"/>
        </w:rPr>
        <w:t xml:space="preserve"> redusere avhengigheita av teknologigigantane, krevje opne protokollar og open kjeldekode i offentlege anskaffingar, og gje tilsynsorgana reell kraft til å handheve regelverket. Eit parallelt brev til </w:t>
      </w:r>
      <w:hyperlink w:history="1" r:id="rId-4kfuzkyjftoegpicc2yv">
        <w:r>
          <w:rPr>
            <w:rStyle w:val="Hyperlink"/>
            <w:rFonts w:ascii="Georgia" w:cs="Georgia" w:eastAsia="Georgia" w:hAnsi="Georgia"/>
            <w:b w:val="false"/>
            <w:bCs w:val="false"/>
            <w:i w:val="false"/>
            <w:iCs w:val="false"/>
            <w:sz w:val="22"/>
            <w:szCs w:val="22"/>
          </w:rPr>
          <w:t xml:space="preserve">EU</w:t>
        </w:r>
      </w:hyperlink>
      <w:r>
        <w:rPr>
          <w:rFonts w:ascii="Georgia" w:cs="Georgia" w:eastAsia="Georgia" w:hAnsi="Georgia"/>
          <w:b w:val="false"/>
          <w:bCs w:val="false"/>
          <w:i w:val="false"/>
          <w:iCs w:val="false"/>
          <w:sz w:val="22"/>
          <w:szCs w:val="22"/>
        </w:rPr>
        <w:t xml:space="preserve">, med 29 sivilsamfunnsorganisasjonar bak, kravde vern mot villeiande, vanedannande og urettvis personalisert design. Under det norske brevet står Amnesty International Norge, LO, NITO, Redd Barna, Tekna, UNICEF Norge, Norsk råd for digital etikk, og forskarar, juristar og forfattarar attåt.</w:t>
      </w:r>
    </w:p>
    <w:p>
      <w:pPr>
        <w:spacing w:after="150" w:before="0" w:line="276"/>
      </w:pPr>
      <w:r>
        <w:rPr>
          <w:rFonts w:ascii="Georgia" w:cs="Georgia" w:eastAsia="Georgia" w:hAnsi="Georgia"/>
          <w:b w:val="false"/>
          <w:bCs w:val="false"/>
          <w:i w:val="false"/>
          <w:iCs w:val="false"/>
          <w:sz w:val="22"/>
          <w:szCs w:val="22"/>
        </w:rPr>
        <w:t xml:space="preserve">Dette er designspørsmål, og dette er det faget seier det kan. Likevel er det ikkje designutdanninga som står fremst når skaden skal namngjevast, avgrensast og stoggast. Kvifor skriv ikkje Steinar Killi under? Kvifor skriv ikkje AHO under? Kvifor er ikkje Institutt for design ei tydeleg offentleg røyst når Forbrukarrådet, teknologar, juristar og barnerettsorganisasjonar må forklare samfunnet kva skadeleg digital form gjer?</w:t>
      </w:r>
    </w:p>
    <w:p>
      <w:pPr>
        <w:spacing w:after="150" w:before="0" w:line="276"/>
      </w:pPr>
      <w:r>
        <w:rPr>
          <w:rFonts w:ascii="Georgia" w:cs="Georgia" w:eastAsia="Georgia" w:hAnsi="Georgia"/>
          <w:b w:val="false"/>
          <w:bCs w:val="false"/>
          <w:i w:val="false"/>
          <w:iCs w:val="false"/>
          <w:sz w:val="22"/>
          <w:szCs w:val="22"/>
        </w:rPr>
        <w:t xml:space="preserve">Spørsmålet blir alvorlegare fordi kravet no kjem innanfrå. Eit kronikkutkast eg enno ikkje har publisert, har alt samla fleire dusin underskrifter frå studentar og elevar, og sju faglærarar ved AHO og KHiO attåt. Det kan ikkje avvisast som privat uro eller temperament. Det er eit fagleg krav frå dei som står i utdanninga: bygg den etiske infrastrukturen de sjølve seier at utdanninga kviler på.</w:t>
      </w:r>
    </w:p>
    <w:p>
      <w:pPr>
        <w:spacing w:after="150" w:before="0" w:line="276"/>
      </w:pPr>
      <w:r>
        <w:rPr>
          <w:rFonts w:ascii="Georgia" w:cs="Georgia" w:eastAsia="Georgia" w:hAnsi="Georgia"/>
          <w:b w:val="false"/>
          <w:bCs w:val="false"/>
          <w:i w:val="false"/>
          <w:iCs w:val="false"/>
          <w:sz w:val="22"/>
          <w:szCs w:val="22"/>
        </w:rPr>
        <w:t xml:space="preserve">Og det er ikkje berre retorisk. Då designarane dine gjekk ut i juni, sa </w:t>
      </w:r>
      <w:hyperlink w:history="1" r:id="rIdhsyv5_bzeyzfw3hnnwikp">
        <w:r>
          <w:rPr>
            <w:rStyle w:val="Hyperlink"/>
            <w:rFonts w:ascii="Georgia" w:cs="Georgia" w:eastAsia="Georgia" w:hAnsi="Georgia"/>
            <w:b w:val="false"/>
            <w:bCs w:val="false"/>
            <w:i w:val="false"/>
            <w:iCs w:val="false"/>
            <w:sz w:val="22"/>
            <w:szCs w:val="22"/>
          </w:rPr>
          <w:t xml:space="preserve">rektor</w:t>
        </w:r>
      </w:hyperlink>
      <w:r>
        <w:rPr>
          <w:rFonts w:ascii="Georgia" w:cs="Georgia" w:eastAsia="Georgia" w:hAnsi="Georgia"/>
          <w:b w:val="false"/>
          <w:bCs w:val="false"/>
          <w:i w:val="false"/>
          <w:iCs w:val="false"/>
          <w:sz w:val="22"/>
          <w:szCs w:val="22"/>
        </w:rPr>
        <w:t xml:space="preserve"> til dei at arbeidet deira krev «dømmekraft», og spurde «hvordan gjør vi teknologien mer menneskelig?». Hausten før tok instituttet dei same studentane ukritisk til Palantirs kontrollrom. Overfor søkjarane seier skulen at kritisk tenking er «</w:t>
      </w:r>
      <w:hyperlink w:history="1" r:id="rIdddzmbdebgngdxichjorje">
        <w:r>
          <w:rPr>
            <w:rStyle w:val="Hyperlink"/>
            <w:rFonts w:ascii="Georgia" w:cs="Georgia" w:eastAsia="Georgia" w:hAnsi="Georgia"/>
            <w:b w:val="false"/>
            <w:bCs w:val="false"/>
            <w:i w:val="false"/>
            <w:iCs w:val="false"/>
            <w:sz w:val="22"/>
            <w:szCs w:val="22"/>
          </w:rPr>
          <w:t xml:space="preserve">nettopp dette som kjennetegner utdanningene våre</w:t>
        </w:r>
      </w:hyperlink>
      <w:r>
        <w:rPr>
          <w:rFonts w:ascii="Georgia" w:cs="Georgia" w:eastAsia="Georgia" w:hAnsi="Georgia"/>
          <w:b w:val="false"/>
          <w:bCs w:val="false"/>
          <w:i w:val="false"/>
          <w:iCs w:val="false"/>
          <w:sz w:val="22"/>
          <w:szCs w:val="22"/>
        </w:rPr>
        <w:t xml:space="preserve">», og at AHO er «</w:t>
      </w:r>
      <w:hyperlink w:history="1" r:id="rIdoflmikdj6hqkomudtpe5l">
        <w:r>
          <w:rPr>
            <w:rStyle w:val="Hyperlink"/>
            <w:rFonts w:ascii="Georgia" w:cs="Georgia" w:eastAsia="Georgia" w:hAnsi="Georgia"/>
            <w:b w:val="false"/>
            <w:bCs w:val="false"/>
            <w:i w:val="false"/>
            <w:iCs w:val="false"/>
            <w:sz w:val="22"/>
            <w:szCs w:val="22"/>
          </w:rPr>
          <w:t xml:space="preserve">et selvfølgelig valg for dem som vil jobbe for en … klimamessig bærekraftig framtid</w:t>
        </w:r>
      </w:hyperlink>
      <w:r>
        <w:rPr>
          <w:rFonts w:ascii="Georgia" w:cs="Georgia" w:eastAsia="Georgia" w:hAnsi="Georgia"/>
          <w:b w:val="false"/>
          <w:bCs w:val="false"/>
          <w:i w:val="false"/>
          <w:iCs w:val="false"/>
          <w:sz w:val="22"/>
          <w:szCs w:val="22"/>
        </w:rPr>
        <w:t xml:space="preserve">».</w:t>
      </w:r>
    </w:p>
    <w:p>
      <w:pPr>
        <w:spacing w:after="150" w:before="0" w:line="276"/>
      </w:pPr>
      <w:r>
        <w:rPr>
          <w:rFonts w:ascii="Georgia" w:cs="Georgia" w:eastAsia="Georgia" w:hAnsi="Georgia"/>
          <w:b w:val="false"/>
          <w:bCs w:val="false"/>
          <w:i w:val="false"/>
          <w:iCs w:val="false"/>
          <w:sz w:val="22"/>
          <w:szCs w:val="22"/>
        </w:rPr>
        <w:t xml:space="preserve">Og lovnaden har rettsleg tyngd. </w:t>
      </w:r>
      <w:hyperlink w:history="1" r:id="rIdmiic5vw9zdnz_hwpnp1dl">
        <w:r>
          <w:rPr>
            <w:rStyle w:val="Hyperlink"/>
            <w:rFonts w:ascii="Georgia" w:cs="Georgia" w:eastAsia="Georgia" w:hAnsi="Georgia"/>
            <w:b w:val="false"/>
            <w:bCs w:val="false"/>
            <w:i w:val="false"/>
            <w:iCs w:val="false"/>
            <w:sz w:val="22"/>
            <w:szCs w:val="22"/>
          </w:rPr>
          <w:t xml:space="preserve">Kvalifikasjonsrammeverket</w:t>
        </w:r>
      </w:hyperlink>
      <w:r>
        <w:rPr>
          <w:rFonts w:ascii="Georgia" w:cs="Georgia" w:eastAsia="Georgia" w:hAnsi="Georgia"/>
          <w:b w:val="false"/>
          <w:bCs w:val="false"/>
          <w:i w:val="false"/>
          <w:iCs w:val="false"/>
          <w:sz w:val="22"/>
          <w:szCs w:val="22"/>
        </w:rPr>
        <w:t xml:space="preserve"> bind AHO gjennom universitets- og høgskulelova og krev at mastergraden gjev ein kandidat som kan analysere relevante fag-, yrkes- og forskingsetiske problemstillingar. Det same utbyttet står i studieplanen din, og </w:t>
      </w:r>
      <w:hyperlink w:history="1" r:id="rIdjhgt3ieesjqw30mkjkihj">
        <w:r>
          <w:rPr>
            <w:rStyle w:val="Hyperlink"/>
            <w:rFonts w:ascii="Georgia" w:cs="Georgia" w:eastAsia="Georgia" w:hAnsi="Georgia"/>
            <w:b w:val="false"/>
            <w:bCs w:val="false"/>
            <w:i w:val="false"/>
            <w:iCs w:val="false"/>
            <w:sz w:val="22"/>
            <w:szCs w:val="22"/>
          </w:rPr>
          <w:t xml:space="preserve">NOKUT</w:t>
        </w:r>
      </w:hyperlink>
      <w:r>
        <w:rPr>
          <w:rFonts w:ascii="Georgia" w:cs="Georgia" w:eastAsia="Georgia" w:hAnsi="Georgia"/>
          <w:b w:val="false"/>
          <w:bCs w:val="false"/>
          <w:i w:val="false"/>
          <w:iCs w:val="false"/>
          <w:sz w:val="22"/>
          <w:szCs w:val="22"/>
        </w:rPr>
        <w:t xml:space="preserve"> skil sjølv mellom det skulen lovar og det studentane faktisk sit att med. Men det vert ikkje undervist som krav og ikkje prøvd i vurderinga: ingen stryk på det, ingen får utteljing for det, og det finst verken organ, prosedyre eller skjema som måler det. Då skildrar ikkje studieplanen utdanninga; han marknadsfører ei utdanning som ikkje finst, for søkjarane og for Kunnskapsdepartementet. Det er det same problemet anten ein kallar det brot på rammeverket eller uærleg framstilling av eige studium.</w:t>
      </w:r>
    </w:p>
    <w:p>
      <w:pPr>
        <w:spacing w:after="150" w:before="0" w:line="276"/>
      </w:pPr>
      <w:r>
        <w:rPr>
          <w:rFonts w:ascii="Georgia" w:cs="Georgia" w:eastAsia="Georgia" w:hAnsi="Georgia"/>
          <w:b w:val="false"/>
          <w:bCs w:val="false"/>
          <w:i w:val="false"/>
          <w:iCs w:val="false"/>
          <w:sz w:val="22"/>
          <w:szCs w:val="22"/>
        </w:rPr>
        <w:t xml:space="preserve">At mange designarar bryr seg, er ikkje motargumentet; det er nett poenget. Den gode intensjonen er klistremerket. Det som manglar, er noko med makt til å nekte.</w:t>
      </w:r>
    </w:p>
    <w:p>
      <w:pPr>
        <w:spacing w:after="150" w:before="0" w:line="276"/>
      </w:pPr>
      <w:r>
        <w:rPr>
          <w:rFonts w:ascii="Georgia" w:cs="Georgia" w:eastAsia="Georgia" w:hAnsi="Georgia"/>
          <w:b w:val="false"/>
          <w:bCs w:val="false"/>
          <w:i w:val="false"/>
          <w:iCs w:val="false"/>
          <w:sz w:val="22"/>
          <w:szCs w:val="22"/>
        </w:rPr>
        <w:t xml:space="preserve">Mi eiga kartlegging av dei 78 design- og arkitekturskulane i Norden viser at AHO er éin av berre to utan ei offentleg prosedyre eller eit uttala krav om etisk vurdering av eksterne samarbeid. Er dette feil, legg fram prosedyren: kvar ho ligg, kven som har vedteke henne, kva kriterium som gjeld, og korleis ein student kan reservere seg utan fagleg eller sosial kostnad.</w:t>
      </w:r>
    </w:p>
    <w:p>
      <w:pPr>
        <w:spacing w:after="80" w:before="0" w:line="276"/>
      </w:pPr>
      <w:r>
        <w:rPr>
          <w:rFonts w:ascii="Georgia" w:cs="Georgia" w:eastAsia="Georgia" w:hAnsi="Georgia"/>
          <w:b w:val="false"/>
          <w:bCs w:val="false"/>
          <w:i w:val="false"/>
          <w:iCs w:val="false"/>
          <w:sz w:val="22"/>
          <w:szCs w:val="22"/>
        </w:rPr>
        <w:t xml:space="preserve">Eg ber AHO innføre:</w:t>
      </w:r>
    </w:p>
    <w:p>
      <w:pPr>
        <w:pStyle w:val="ListParagraph"/>
        <w:numPr>
          <w:ilvl w:val="0"/>
          <w:numId w:val="2"/>
        </w:numPr>
        <w:spacing w:after="60" w:before="0" w:line="276"/>
      </w:pPr>
      <w:r>
        <w:rPr>
          <w:rFonts w:ascii="Georgia" w:cs="Georgia" w:eastAsia="Georgia" w:hAnsi="Georgia"/>
          <w:b w:val="false"/>
          <w:bCs w:val="false"/>
          <w:i w:val="false"/>
          <w:iCs w:val="false"/>
          <w:sz w:val="22"/>
          <w:szCs w:val="22"/>
        </w:rPr>
        <w:t xml:space="preserve">offentleg etisk vurdering av alle eksterne samarbeid før avtale vert inngått;</w:t>
      </w:r>
    </w:p>
    <w:p>
      <w:pPr>
        <w:pStyle w:val="ListParagraph"/>
        <w:numPr>
          <w:ilvl w:val="0"/>
          <w:numId w:val="2"/>
        </w:numPr>
        <w:spacing w:after="60" w:before="0" w:line="276"/>
      </w:pPr>
      <w:r>
        <w:rPr>
          <w:rFonts w:ascii="Georgia" w:cs="Georgia" w:eastAsia="Georgia" w:hAnsi="Georgia"/>
          <w:b w:val="false"/>
          <w:bCs w:val="false"/>
          <w:i w:val="false"/>
          <w:iCs w:val="false"/>
          <w:sz w:val="22"/>
          <w:szCs w:val="22"/>
        </w:rPr>
        <w:t xml:space="preserve">rett for studentar til å reservere seg frå politisk, militært eller overvakingsteknologisk feltinnhald;</w:t>
      </w:r>
    </w:p>
    <w:p>
      <w:pPr>
        <w:pStyle w:val="ListParagraph"/>
        <w:numPr>
          <w:ilvl w:val="0"/>
          <w:numId w:val="2"/>
        </w:numPr>
        <w:spacing w:after="60" w:before="0" w:line="276"/>
      </w:pPr>
      <w:r>
        <w:rPr>
          <w:rFonts w:ascii="Georgia" w:cs="Georgia" w:eastAsia="Georgia" w:hAnsi="Georgia"/>
          <w:b w:val="false"/>
          <w:bCs w:val="false"/>
          <w:i w:val="false"/>
          <w:iCs w:val="false"/>
          <w:sz w:val="22"/>
          <w:szCs w:val="22"/>
        </w:rPr>
        <w:t xml:space="preserve">obligatorisk vurdering av klima-, miljø-, data- og maktomsyn i alle større prosjekt;</w:t>
      </w:r>
    </w:p>
    <w:p>
      <w:pPr>
        <w:pStyle w:val="ListParagraph"/>
        <w:numPr>
          <w:ilvl w:val="0"/>
          <w:numId w:val="2"/>
        </w:numPr>
        <w:spacing w:after="60" w:before="0" w:line="276"/>
      </w:pPr>
      <w:r>
        <w:rPr>
          <w:rFonts w:ascii="Georgia" w:cs="Georgia" w:eastAsia="Georgia" w:hAnsi="Georgia"/>
          <w:b w:val="false"/>
          <w:bCs w:val="false"/>
          <w:i w:val="false"/>
          <w:iCs w:val="false"/>
          <w:sz w:val="22"/>
          <w:szCs w:val="22"/>
        </w:rPr>
        <w:t xml:space="preserve">eit prosesskjema der studenten dokumenterer både dei omsyna som vart tekne og dei som vart valde vekk;</w:t>
      </w:r>
    </w:p>
    <w:p>
      <w:pPr>
        <w:pStyle w:val="ListParagraph"/>
        <w:numPr>
          <w:ilvl w:val="0"/>
          <w:numId w:val="2"/>
        </w:numPr>
        <w:spacing w:after="60" w:before="0" w:line="276"/>
      </w:pPr>
      <w:r>
        <w:rPr>
          <w:rFonts w:ascii="Georgia" w:cs="Georgia" w:eastAsia="Georgia" w:hAnsi="Georgia"/>
          <w:b w:val="false"/>
          <w:bCs w:val="false"/>
          <w:i w:val="false"/>
          <w:iCs w:val="false"/>
          <w:sz w:val="22"/>
          <w:szCs w:val="22"/>
        </w:rPr>
        <w:t xml:space="preserve">fagleg utteljing for å avvise løysingar som bryt med klima-, miljø- eller etiske krav;</w:t>
      </w:r>
    </w:p>
    <w:p>
      <w:pPr>
        <w:pStyle w:val="ListParagraph"/>
        <w:numPr>
          <w:ilvl w:val="0"/>
          <w:numId w:val="2"/>
        </w:numPr>
        <w:spacing w:after="150" w:before="0" w:line="276"/>
      </w:pPr>
      <w:r>
        <w:rPr>
          <w:rFonts w:ascii="Georgia" w:cs="Georgia" w:eastAsia="Georgia" w:hAnsi="Georgia"/>
          <w:b w:val="false"/>
          <w:bCs w:val="false"/>
          <w:i w:val="false"/>
          <w:iCs w:val="false"/>
          <w:sz w:val="22"/>
          <w:szCs w:val="22"/>
        </w:rPr>
        <w:t xml:space="preserve">open dokumentasjon, lagd fram for studentane og Kunnskapsdepartementet, av korleis læringsutbyttet om etikk faktisk vert undervist og vurdert.</w:t>
      </w:r>
    </w:p>
    <w:p>
      <w:pPr>
        <w:spacing w:after="260" w:before="0" w:line="276"/>
      </w:pPr>
      <w:r>
        <w:rPr>
          <w:rFonts w:ascii="Georgia" w:cs="Georgia" w:eastAsia="Georgia" w:hAnsi="Georgia"/>
          <w:b w:val="false"/>
          <w:bCs w:val="false"/>
          <w:i w:val="false"/>
          <w:iCs w:val="false"/>
          <w:sz w:val="22"/>
          <w:szCs w:val="22"/>
        </w:rPr>
        <w:t xml:space="preserve">Utan dette lærer AHO studentane at ansvar er noko ein nemner, ikkje noko som kan stoppe eit prosjekt. Det er ikkje godt nok. Ein designskule må ha eit nei.</w:t>
      </w:r>
    </w:p>
    <w:p>
      <w:pPr>
        <w:spacing w:after="20" w:before="0" w:line="276"/>
      </w:pPr>
      <w:r>
        <w:rPr>
          <w:rFonts w:ascii="Georgia" w:cs="Georgia" w:eastAsia="Georgia" w:hAnsi="Georgia"/>
          <w:b/>
          <w:bCs/>
          <w:i w:val="false"/>
          <w:iCs w:val="false"/>
          <w:sz w:val="22"/>
          <w:szCs w:val="22"/>
        </w:rPr>
        <w:t xml:space="preserve">Iver Raknes Finne</w:t>
      </w:r>
    </w:p>
    <w:p>
      <w:pPr>
        <w:spacing w:after="150" w:before="0" w:line="276"/>
      </w:pPr>
      <w:r>
        <w:rPr>
          <w:rFonts w:ascii="Georgia" w:cs="Georgia" w:eastAsia="Georgia" w:hAnsi="Georgia"/>
          <w:b w:val="false"/>
          <w:bCs w:val="false"/>
          <w:i w:val="false"/>
          <w:iCs w:val="false"/>
          <w:sz w:val="22"/>
          <w:szCs w:val="22"/>
        </w:rPr>
        <w:t xml:space="preserve">student, Arkitektur- og designhøgskolen i Oslo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yofjced_jzkpkwri140r" Type="http://schemas.openxmlformats.org/officeDocument/2006/relationships/hyperlink" Target="https://www.annefrank.org/en/anne-frank/go-in-depth/reconstruction-arrest-people-hiding/" TargetMode="External"/><Relationship Id="rIdoot0dhxkmioewuek1jswu" Type="http://schemas.openxmlformats.org/officeDocument/2006/relationships/hyperlink" Target="https://www.aljazeera.com/news/2026/3/3/questions-over-minab-girls-school-strike-as-israel-us-deny-involvement" TargetMode="External"/><Relationship Id="rIdpeef7nemwiszoblzdk_n8" Type="http://schemas.openxmlformats.org/officeDocument/2006/relationships/hyperlink" Target="https://en.wikipedia.org/wiki/2026_United_States_intervention_in_Venezuela" TargetMode="External"/><Relationship Id="rIdypobs43vagzdhk8vatlfz" Type="http://schemas.openxmlformats.org/officeDocument/2006/relationships/hyperlink" Target="https://www.ochaopt.org/data/casualties" TargetMode="External"/><Relationship Id="rIdwv5jji5uhe9rst7vfdhbi" Type="http://schemas.openxmlformats.org/officeDocument/2006/relationships/hyperlink" Target="https://www.forbrukerradet.no/siste-nytt/digitale-produkter-og-tjenester-blir-darligere-men-utviklingen-kan-snus/" TargetMode="External"/><Relationship Id="rIdvula-aahzlvitaofhfshv" Type="http://schemas.openxmlformats.org/officeDocument/2006/relationships/hyperlink" Target="https://storage02.forbrukerradet.no/media/2026/02/2026-02-27-apent-brev-til-regjeringen.pdf" TargetMode="External"/><Relationship Id="rId-4kfuzkyjftoegpicc2yv" Type="http://schemas.openxmlformats.org/officeDocument/2006/relationships/hyperlink" Target="https://storage02.forbrukerradet.no/media/2026/02/2026-02-27-final-letter-to-eu-policymakers-2.pdf" TargetMode="External"/><Relationship Id="rIdhsyv5_bzeyzfw3hnnwikp" Type="http://schemas.openxmlformats.org/officeDocument/2006/relationships/hyperlink" Target="https://www.aho.no/om/nyheter/aktuelt/%E2%80%93-ver-med-pa-a-skape-endringene-samfunnet-trenger-.html" TargetMode="External"/><Relationship Id="rIdddzmbdebgngdxichjorje" Type="http://schemas.openxmlformats.org/officeDocument/2006/relationships/hyperlink" Target="https://www.arkitektur.no/aktuelt/utdanning/dramatisk-nedgang-i-soekere-til-aho/" TargetMode="External"/><Relationship Id="rIdoflmikdj6hqkomudtpe5l" Type="http://schemas.openxmlformats.org/officeDocument/2006/relationships/hyperlink" Target="https://www.arkitektur.no/aktuelt/utdanning/faerre-soekere-til-arkitekturutdanningen/" TargetMode="External"/><Relationship Id="rIdmiic5vw9zdnz_hwpnp1dl" Type="http://schemas.openxmlformats.org/officeDocument/2006/relationships/hyperlink" Target="https://www.regjeringen.no/no/dokumenter/meld.-st.-16-20162017/id2536007/?ch=8" TargetMode="External"/><Relationship Id="rIdjhgt3ieesjqw30mkjkihj" Type="http://schemas.openxmlformats.org/officeDocument/2006/relationships/hyperlink" Target="https://www.nokut.no/norsk-utdanning/nasjonalt-kvalifikasjonsrammeverk-for-livslang-laring/kva-er-laringsutbyte-og-laringsutbyteskildringar/"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 Steinar Killi</dc:title>
  <dc:creator>Iver Raknes Finne</dc:creator>
  <cp:lastModifiedBy>Un-named</cp:lastModifiedBy>
  <cp:revision>1</cp:revision>
  <dcterms:created xsi:type="dcterms:W3CDTF">2026-06-21T21:04:07.715Z</dcterms:created>
  <dcterms:modified xsi:type="dcterms:W3CDTF">2026-06-21T21:04:07.715Z</dcterms:modified>
</cp:coreProperties>
</file>

<file path=docProps/custom.xml><?xml version="1.0" encoding="utf-8"?>
<Properties xmlns="http://schemas.openxmlformats.org/officeDocument/2006/custom-properties" xmlns:vt="http://schemas.openxmlformats.org/officeDocument/2006/docPropsVTypes"/>
</file>