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color w:val="595959"/>
          <w:sz w:val="20"/>
          <w:szCs w:val="20"/>
        </w:rPr>
        <w:t xml:space="preserve">Oslo · juni 2026</w:t>
      </w:r>
    </w:p>
    <w:p>
      <w:pPr>
        <w:spacing w:after="40"/>
      </w:pPr>
      <w:r>
        <w:rPr>
          <w:b/>
          <w:bCs/>
          <w:sz w:val="26"/>
          <w:szCs w:val="26"/>
        </w:rPr>
        <w:t xml:space="preserve">Til Steinar Killi</w:t>
      </w:r>
    </w:p>
    <w:p>
      <w:pPr>
        <w:spacing w:after="280"/>
      </w:pPr>
      <w:r>
        <w:rPr>
          <w:i/>
          <w:iCs/>
          <w:color w:val="595959"/>
          <w:sz w:val="22"/>
          <w:szCs w:val="22"/>
        </w:rPr>
        <w:t xml:space="preserve">ved Institutt for design, Arkitektur- og designhøgskolen i Oslo</w:t>
      </w:r>
    </w:p>
    <w:p>
      <w:pPr>
        <w:spacing w:after="150" w:line="292" w:lineRule="auto"/>
      </w:pPr>
      <w:r>
        <w:t xml:space="preserve">Eg skriv fordi AHO no skuldar svar på eitt spørsmål, og berre eitt: kva lærer skulen studentane sine å seie nei til?</w:t>
      </w:r>
    </w:p>
    <w:p>
      <w:pPr>
        <w:spacing w:after="150" w:line="292" w:lineRule="auto"/>
      </w:pPr>
      <w:r>
        <w:t xml:space="preserve">Ikkje </w:t>
      </w:r>
      <w:hyperlink w:history="1" r:id="rIdrxwtw28ycgqy7jg8gzoy0">
        <w:r>
          <w:rPr>
            <w:rStyle w:val="Hyperlink"/>
            <w:sz w:val="23"/>
            <w:szCs w:val="23"/>
          </w:rPr>
          <w:t xml:space="preserve">Kongsberg</w:t>
        </w:r>
      </w:hyperlink>
      <w:r>
        <w:t xml:space="preserve"> åleine. I september i fjor tok instituttet ditt designstudentane til C4, antiterroravdelinga ved politiet i Amsterdam, og heilt ukritisk. På førehand fekk dei beskjed: «ask proactively, and they might show you a live demo!». Demoen var av </w:t>
      </w:r>
      <w:hyperlink w:history="1" r:id="rIdypj-4fjvelcghredpgigj">
        <w:r>
          <w:rPr>
            <w:rStyle w:val="Hyperlink"/>
            <w:sz w:val="23"/>
            <w:szCs w:val="23"/>
          </w:rPr>
          <w:t xml:space="preserve">Raffinaderij</w:t>
        </w:r>
      </w:hyperlink>
      <w:r>
        <w:t xml:space="preserve">, dataplattforma det nederlandske politiet byggjer på Palantir, kjøpt i hemmeleg utan anbod i 2018 og dradd fram i lyset berre gjennom rettssaker: eit system som køyrer på opplysningar om millionar av nederlendarar som ikkje er mistenkte for noko.</w:t>
      </w:r>
    </w:p>
    <w:p>
      <w:pPr>
        <w:spacing w:after="150" w:line="292" w:lineRule="auto"/>
      </w:pPr>
      <w:r>
        <w:t xml:space="preserve">Tenk over kva studentane vart oppmoda til å be om. Det er det same politiet som under okkupasjonen, saman med tyskarane, stilte mennene som </w:t>
      </w:r>
      <w:hyperlink w:history="1" r:id="rIdvzkujm5o6iexyewfkwgcb">
        <w:r>
          <w:rPr>
            <w:rStyle w:val="Hyperlink"/>
            <w:sz w:val="23"/>
            <w:szCs w:val="23"/>
          </w:rPr>
          <w:t xml:space="preserve">arresterte Anne Frank</w:t>
        </w:r>
      </w:hyperlink>
      <w:r>
        <w:t xml:space="preserve">, og som registrerte og merkte byens jødar for deportasjon. Og Palantir leverer </w:t>
      </w:r>
      <w:hyperlink w:history="1" r:id="rIdup3rn49wowswvkwaogjtu">
        <w:r>
          <w:rPr>
            <w:rStyle w:val="Hyperlink"/>
            <w:sz w:val="23"/>
            <w:szCs w:val="23"/>
          </w:rPr>
          <w:t xml:space="preserve">det same slaget infrastruktur</w:t>
        </w:r>
      </w:hyperlink>
      <w:r>
        <w:t xml:space="preserve">: systema som ber analysen bak </w:t>
      </w:r>
      <w:hyperlink w:history="1" r:id="rIdgvuetke-b1paebpu_nvl0">
        <w:r>
          <w:rPr>
            <w:rStyle w:val="Hyperlink"/>
            <w:sz w:val="23"/>
            <w:szCs w:val="23"/>
          </w:rPr>
          <w:t xml:space="preserve">razziaane mot migrantfamiliar i USA</w:t>
        </w:r>
      </w:hyperlink>
      <w:r>
        <w:t xml:space="preserve">, og den same maskinelle måljakta som hæren i </w:t>
      </w:r>
      <w:hyperlink w:history="1" r:id="rIdbuhfohpdjetwa55lxy1zw">
        <w:r>
          <w:rPr>
            <w:rStyle w:val="Hyperlink"/>
            <w:sz w:val="23"/>
            <w:szCs w:val="23"/>
          </w:rPr>
          <w:t xml:space="preserve">Gaza</w:t>
        </w:r>
      </w:hyperlink>
      <w:r>
        <w:t xml:space="preserve"> nytta til å spore menn heim til familiane og bombe husa, med talet på sivile tap sett på førehand. Og den same logikken, maskina som gjer jobben feilfritt medan mennesket berre godkjenner, ligg bak åtaket 28. februar i år: amerikanske kryssarmissil jamna </w:t>
      </w:r>
      <w:hyperlink w:history="1" r:id="rId3rubd7-m08519rgepdr0y">
        <w:r>
          <w:rPr>
            <w:rStyle w:val="Hyperlink"/>
            <w:sz w:val="23"/>
            <w:szCs w:val="23"/>
          </w:rPr>
          <w:t xml:space="preserve">jenteskulen i Minab</w:t>
        </w:r>
      </w:hyperlink>
      <w:r>
        <w:t xml:space="preserve"> med jorda og drap meir enn hundre og seksti menneske, dei fleste jenter mellom sju og tolv. </w:t>
      </w:r>
      <w:hyperlink w:history="1" r:id="rIdgsplu0qsvsvwq4h3ldsr8">
        <w:r>
          <w:rPr>
            <w:rStyle w:val="Hyperlink"/>
            <w:sz w:val="23"/>
            <w:szCs w:val="23"/>
          </w:rPr>
          <w:t xml:space="preserve">Etterretninga var framleis koda som om bygget var ein militærbase</w:t>
        </w:r>
      </w:hyperlink>
      <w:r>
        <w:t xml:space="preserve"> det for lengst hadde slutta å vere. Systemet gjorde nett det det var sett til. Ingen i kjeda stansa det. Dette er ikkje misbruk av design. Det er design utført kompetent, og faget lærte studentane å be om å få sjå det. Det er symptom. Sjukdomen er at utdanninga ikkje eig den strukturen som skulle gjort eit slikt nei mogleg.</w:t>
      </w:r>
    </w:p>
    <w:p>
      <w:pPr>
        <w:spacing w:after="150" w:line="292" w:lineRule="auto"/>
      </w:pPr>
      <w:r>
        <w:t xml:space="preserve">AHO har ikkje eit etisk organ for designutdanninga. Faget har ingen profesjon med bindande retningsliner, ingen instans som kan sanksjonere brot, ingen standard studenten faktisk vert lærd å halde seg mot. Og klima og miljø vert ikkje lærte som krav. Dei vert lærte som tillegg: språk, intensjon, dekor.</w:t>
      </w:r>
    </w:p>
    <w:p>
      <w:pPr>
        <w:spacing w:after="150" w:line="292" w:lineRule="auto"/>
      </w:pPr>
      <w:r>
        <w:t xml:space="preserve">Sjå korleis det ser ut i ei semesteroppgåve. I GK4 vart me bedne om, mellom andre punkt, å «legge til en bærekraftshandling i designet». Les den setninga ein gong til. Rektor seier sjølv, frå scena ved avgangsseremonien, at sosial berekraft </w:t>
      </w:r>
      <w:hyperlink w:history="1" r:id="rIdxtbspew_akyy0rn1dpyq2">
        <w:r>
          <w:rPr>
            <w:rStyle w:val="Hyperlink"/>
            <w:sz w:val="23"/>
            <w:szCs w:val="23"/>
          </w:rPr>
          <w:t xml:space="preserve">«ikke er et tillegg til det faglige arbeidet, men en del av det»</w:t>
        </w:r>
      </w:hyperlink>
      <w:r>
        <w:t xml:space="preserve">. Men det er nett eit tillegg oppgåva ber om: ei handling du legg oppå eit produkt etterpå, eit moralsk klistremerke på ei form som alt er avgjord. I den grammatikken kjem etikken alltid etter at forma er valt, som pynt, og pynt kan aldri vere eit nei. Eit nei må kunne kome før forma. AHO har ikkje bygt nokon stad det kan kome frå.</w:t>
      </w:r>
    </w:p>
    <w:p>
      <w:pPr>
        <w:spacing w:after="130" w:line="292" w:lineRule="auto"/>
      </w:pPr>
      <w:r>
        <w:t xml:space="preserve">Dette er ikkje ein einsleg tabbe i éi oppgåve; det er mønsteret. Set AHOs eigne ord ved sida av det utdanninga faktisk gjer, og brotet er heile saka:</w:t>
      </w:r>
    </w:p>
    <w:tbl>
      <w:tblPr>
        <w:tblW w:type="dxa" w:w="8506"/>
        <w:tblBorders>
          <w:top w:val="single" w:color="8f8f8f" w:sz="4"/>
          <w:left w:val="none"/>
          <w:bottom w:val="single" w:color="8f8f8f" w:sz="4"/>
          <w:right w:val="none"/>
          <w:insideH w:val="single" w:color="c9c9c9" w:sz="2"/>
          <w:insideV w:val="none"/>
        </w:tblBorders>
      </w:tblPr>
      <w:tblGrid>
        <w:gridCol w:w="4253"/>
        <w:gridCol w:w="4253"/>
      </w:tblGrid>
      <w:tr>
        <w:trPr>
          <w:tblHeader/>
        </w:trPr>
        <w:tc>
          <w:tcPr>
            <w:tcMar>
              <w:top w:type="dxa" w:w="70"/>
              <w:left w:type="dxa" w:w="135"/>
              <w:bottom w:type="dxa" w:w="80"/>
              <w:right w:type="dxa" w:w="135"/>
            </w:tcMar>
            <w:vAlign w:val="top"/>
          </w:tcPr>
          <w:p>
            <w:pPr>
              <w:spacing w:after="0"/>
            </w:pPr>
            <w:r>
              <w:rPr>
                <w:b/>
                <w:bCs/>
                <w:caps/>
                <w:color w:val="6b6b6b"/>
                <w:sz w:val="17"/>
                <w:szCs w:val="17"/>
              </w:rPr>
              <w:t xml:space="preserve">Det AHO seier</w:t>
            </w:r>
          </w:p>
        </w:tc>
        <w:tc>
          <w:tcPr>
            <w:tcMar>
              <w:top w:type="dxa" w:w="70"/>
              <w:left w:type="dxa" w:w="135"/>
              <w:bottom w:type="dxa" w:w="80"/>
              <w:right w:type="dxa" w:w="135"/>
            </w:tcMar>
            <w:vAlign w:val="top"/>
          </w:tcPr>
          <w:p>
            <w:pPr>
              <w:spacing w:after="0"/>
            </w:pPr>
            <w:r>
              <w:rPr>
                <w:b/>
                <w:bCs/>
                <w:caps/>
                <w:color w:val="6b6b6b"/>
                <w:sz w:val="17"/>
                <w:szCs w:val="17"/>
              </w:rPr>
              <w:t xml:space="preserve">Det som faktisk skjer</w:t>
            </w:r>
          </w:p>
        </w:tc>
      </w:tr>
      <w:tr>
        <w:tc>
          <w:tcPr>
            <w:tcMar>
              <w:top w:type="dxa" w:w="95"/>
              <w:left w:type="dxa" w:w="135"/>
              <w:bottom w:type="dxa" w:w="95"/>
              <w:right w:type="dxa" w:w="135"/>
            </w:tcMar>
            <w:vAlign w:val="top"/>
          </w:tcPr>
          <w:p>
            <w:pPr>
              <w:spacing w:after="0" w:line="252" w:lineRule="auto"/>
            </w:pPr>
            <w:r>
              <w:rPr>
                <w:sz w:val="20"/>
                <w:szCs w:val="20"/>
              </w:rPr>
              <w:t xml:space="preserve">Rektor, til søkjarane (april 2026): kritisk tenking og eksperimentering er </w:t>
            </w:r>
            <w:hyperlink w:history="1" r:id="rIdpmkgdjebjo9jpt41j6y9j">
              <w:r>
                <w:rPr>
                  <w:rStyle w:val="Hyperlink"/>
                  <w:sz w:val="20"/>
                  <w:szCs w:val="20"/>
                </w:rPr>
                <w:t xml:space="preserve">«nettopp dette som kjennetegner utdanningene våre»</w:t>
              </w:r>
            </w:hyperlink>
            <w:r>
              <w:rPr>
                <w:sz w:val="20"/>
                <w:szCs w:val="20"/>
              </w:rPr>
              <w:t xml:space="preserve">.</w:t>
            </w:r>
          </w:p>
        </w:tc>
        <w:tc>
          <w:tcPr>
            <w:tcMar>
              <w:top w:type="dxa" w:w="95"/>
              <w:left w:type="dxa" w:w="135"/>
              <w:bottom w:type="dxa" w:w="95"/>
              <w:right w:type="dxa" w:w="135"/>
            </w:tcMar>
            <w:vAlign w:val="top"/>
          </w:tcPr>
          <w:p>
            <w:pPr>
              <w:spacing w:after="0" w:line="252" w:lineRule="auto"/>
            </w:pPr>
            <w:r>
              <w:rPr>
                <w:sz w:val="20"/>
                <w:szCs w:val="20"/>
              </w:rPr>
              <w:t xml:space="preserve">Læringsutbyttet vert ikkje undervist som krav og ikkje prøvd. Ingen stryk på det, ingen får utteljing for det, og verken organ, prosedyre eller skjema måler det.</w:t>
            </w:r>
          </w:p>
        </w:tc>
      </w:tr>
      <w:tr>
        <w:tc>
          <w:tcPr>
            <w:tcMar>
              <w:top w:type="dxa" w:w="95"/>
              <w:left w:type="dxa" w:w="135"/>
              <w:bottom w:type="dxa" w:w="95"/>
              <w:right w:type="dxa" w:w="135"/>
            </w:tcMar>
            <w:vAlign w:val="top"/>
          </w:tcPr>
          <w:p>
            <w:pPr>
              <w:spacing w:after="0" w:line="252" w:lineRule="auto"/>
            </w:pPr>
            <w:hyperlink w:history="1" r:id="rIdijxymrpbiabkmrlqoudae">
              <w:r>
                <w:rPr>
                  <w:rStyle w:val="Hyperlink"/>
                  <w:sz w:val="20"/>
                  <w:szCs w:val="20"/>
                </w:rPr>
                <w:t xml:space="preserve">Studieplanen, nivå 7</w:t>
              </w:r>
            </w:hyperlink>
            <w:r>
              <w:rPr>
                <w:sz w:val="20"/>
                <w:szCs w:val="20"/>
              </w:rPr>
              <w:t xml:space="preserve"> (lovpålagt): kandidaten «kan analysere relevante fag-, yrkes- og forskningsetiske problemstillinger».</w:t>
            </w:r>
          </w:p>
        </w:tc>
        <w:tc>
          <w:tcPr>
            <w:tcMar>
              <w:top w:type="dxa" w:w="95"/>
              <w:left w:type="dxa" w:w="135"/>
              <w:bottom w:type="dxa" w:w="95"/>
              <w:right w:type="dxa" w:w="135"/>
            </w:tcMar>
            <w:vAlign w:val="top"/>
          </w:tcPr>
          <w:p>
            <w:pPr>
              <w:spacing w:after="0" w:line="252" w:lineRule="auto"/>
            </w:pPr>
            <w:r>
              <w:rPr>
                <w:sz w:val="20"/>
                <w:szCs w:val="20"/>
              </w:rPr>
              <w:t xml:space="preserve">Setninga står i planen, men inga prøve, inga vurdering og ingen karakter knyter seg til henne.</w:t>
            </w:r>
          </w:p>
        </w:tc>
      </w:tr>
      <w:tr>
        <w:tc>
          <w:tcPr>
            <w:tcMar>
              <w:top w:type="dxa" w:w="95"/>
              <w:left w:type="dxa" w:w="135"/>
              <w:bottom w:type="dxa" w:w="95"/>
              <w:right w:type="dxa" w:w="135"/>
            </w:tcMar>
            <w:vAlign w:val="top"/>
          </w:tcPr>
          <w:p>
            <w:pPr>
              <w:spacing w:after="0" w:line="252" w:lineRule="auto"/>
            </w:pPr>
            <w:r>
              <w:rPr>
                <w:sz w:val="20"/>
                <w:szCs w:val="20"/>
              </w:rPr>
              <w:t xml:space="preserve">Rektor ved avgangsseremonien (12. juni 2026): </w:t>
            </w:r>
            <w:hyperlink w:history="1" r:id="rIdxkngwb9n84qrbyqbuvskt">
              <w:r>
                <w:rPr>
                  <w:rStyle w:val="Hyperlink"/>
                  <w:sz w:val="20"/>
                  <w:szCs w:val="20"/>
                </w:rPr>
                <w:t xml:space="preserve">«hvordan gjør vi teknologien mer menneskelig?»</w:t>
              </w:r>
            </w:hyperlink>
          </w:p>
        </w:tc>
        <w:tc>
          <w:tcPr>
            <w:tcMar>
              <w:top w:type="dxa" w:w="95"/>
              <w:left w:type="dxa" w:w="135"/>
              <w:bottom w:type="dxa" w:w="95"/>
              <w:right w:type="dxa" w:w="135"/>
            </w:tcMar>
            <w:vAlign w:val="top"/>
          </w:tcPr>
          <w:p>
            <w:pPr>
              <w:spacing w:after="0" w:line="252" w:lineRule="auto"/>
            </w:pPr>
            <w:r>
              <w:rPr>
                <w:sz w:val="20"/>
                <w:szCs w:val="20"/>
              </w:rPr>
              <w:t xml:space="preserve">Hausten før vart designstudentane tekne ukritisk til Palantirs kontrollrom i Amsterdam, utan rett til å reservere seg.</w:t>
            </w:r>
          </w:p>
        </w:tc>
      </w:tr>
      <w:tr>
        <w:tc>
          <w:tcPr>
            <w:tcMar>
              <w:top w:type="dxa" w:w="95"/>
              <w:left w:type="dxa" w:w="135"/>
              <w:bottom w:type="dxa" w:w="95"/>
              <w:right w:type="dxa" w:w="135"/>
            </w:tcMar>
            <w:vAlign w:val="top"/>
          </w:tcPr>
          <w:p>
            <w:pPr>
              <w:spacing w:after="0" w:line="252" w:lineRule="auto"/>
            </w:pPr>
            <w:r>
              <w:rPr>
                <w:sz w:val="20"/>
                <w:szCs w:val="20"/>
              </w:rPr>
              <w:t xml:space="preserve">AHO marknadsfører skulen som </w:t>
            </w:r>
            <w:hyperlink w:history="1" r:id="rId7ry45-_db4lti8baeqzzl">
              <w:r>
                <w:rPr>
                  <w:rStyle w:val="Hyperlink"/>
                  <w:sz w:val="20"/>
                  <w:szCs w:val="20"/>
                </w:rPr>
                <w:t xml:space="preserve">«et selvfølgelig valg for dem som vil jobbe for en sosialt og klimamessig bærekraftig framtid»</w:t>
              </w:r>
            </w:hyperlink>
            <w:r>
              <w:rPr>
                <w:sz w:val="20"/>
                <w:szCs w:val="20"/>
              </w:rPr>
              <w:t xml:space="preserve">.</w:t>
            </w:r>
          </w:p>
        </w:tc>
        <w:tc>
          <w:tcPr>
            <w:tcMar>
              <w:top w:type="dxa" w:w="95"/>
              <w:left w:type="dxa" w:w="135"/>
              <w:bottom w:type="dxa" w:w="95"/>
              <w:right w:type="dxa" w:w="135"/>
            </w:tcMar>
            <w:vAlign w:val="top"/>
          </w:tcPr>
          <w:p>
            <w:pPr>
              <w:spacing w:after="0" w:line="252" w:lineRule="auto"/>
            </w:pPr>
            <w:r>
              <w:rPr>
                <w:sz w:val="20"/>
                <w:szCs w:val="20"/>
              </w:rPr>
              <w:t xml:space="preserve">Berekraft er </w:t>
            </w:r>
            <w:hyperlink w:history="1" r:id="rId0gcechrljtwze_ivfvcrw">
              <w:r>
                <w:rPr>
                  <w:rStyle w:val="Hyperlink"/>
                  <w:sz w:val="20"/>
                  <w:szCs w:val="20"/>
                </w:rPr>
                <w:t xml:space="preserve">«viktig tematikk»</w:t>
              </w:r>
            </w:hyperlink>
            <w:r>
              <w:rPr>
                <w:sz w:val="20"/>
                <w:szCs w:val="20"/>
              </w:rPr>
              <w:t xml:space="preserve"> i nokre masterkurs (AHOs eigne ord), og rammeverket krev ingenting om klima på masternivå.</w:t>
            </w:r>
          </w:p>
        </w:tc>
      </w:tr>
    </w:tbl>
    <w:p>
      <w:pPr>
        <w:spacing w:after="60"/>
      </w:pPr>
      <w:r>
        <w:t xml:space="preserve"/>
      </w:r>
    </w:p>
    <w:p>
      <w:pPr>
        <w:spacing w:after="150" w:line="292" w:lineRule="auto"/>
      </w:pPr>
      <w:r>
        <w:t xml:space="preserve">Dei to første radene er ikkje marknadsføring; dei er eit lovpålagt læringsutbyte. Nivå 7 i </w:t>
      </w:r>
      <w:hyperlink w:history="1" r:id="rIduxjlrlay6cujpcy3yteoo">
        <w:r>
          <w:rPr>
            <w:rStyle w:val="Hyperlink"/>
            <w:sz w:val="23"/>
            <w:szCs w:val="23"/>
          </w:rPr>
          <w:t xml:space="preserve">kvalifikasjonsrammeverket</w:t>
        </w:r>
      </w:hyperlink>
      <w:r>
        <w:t xml:space="preserve"> ber etikk-deskriptoren, og </w:t>
      </w:r>
      <w:hyperlink w:history="1" r:id="rIdpify9uodgnqzzc9tgb3yn">
        <w:r>
          <w:rPr>
            <w:rStyle w:val="Hyperlink"/>
            <w:sz w:val="23"/>
            <w:szCs w:val="23"/>
          </w:rPr>
          <w:t xml:space="preserve">studietilsynsforskrifta § 2-2</w:t>
        </w:r>
      </w:hyperlink>
      <w:r>
        <w:t xml:space="preserve"> krev at vurderinga faktisk kan påvise utbyttet. Eit utbyte som står skrive, men aldri vert prøvd, er per definisjon ikkje samstemt med vurderinga. Då skildrar ikkje studieplanen utdanninga; han marknadsfører ei utdanning som ikkje finst, for søkjarane og for Kunnskapsdepartementet, anten ein kallar det brot på rammeverket eller uærleg framstilling av eige studium. Dei to siste radene har ingen lov bak seg, og treng henne ikkje: dei er løftebrot, mot skulens eiga marknadsføring og mot rektors eigne ord. Mot jussen er det svakt; mot deira eigne utsegner er det desto skarpare, for skulen valde ordet sjølv: «tematikk».</w:t>
      </w:r>
    </w:p>
    <w:p>
      <w:pPr>
        <w:spacing w:after="150" w:line="292" w:lineRule="auto"/>
      </w:pPr>
      <w:r>
        <w:t xml:space="preserve">Og ingen utanfrå fangar det. AHO er ein vitskapleg høgskule og akkrediterer sin eigen designmaster; den einaste eksterne kontrollen er tilsyn med kvalitetssystemet, ikkje med om etikk-utbyttet faktisk vert levert. Krinsen som skulle fange brotet, er huset sjølv.</w:t>
      </w:r>
    </w:p>
    <w:p>
      <w:pPr>
        <w:spacing w:after="150" w:line="292" w:lineRule="auto"/>
      </w:pPr>
      <w:r>
        <w:t xml:space="preserve">At mange designarar bryr seg, er ikkje motargumentet; det er nett poenget. Den gode intensjonen er klistremerket. Det som manglar, er noko med makt til å nekte.</w:t>
      </w:r>
    </w:p>
    <w:p>
      <w:pPr>
        <w:spacing w:after="150" w:line="292" w:lineRule="auto"/>
      </w:pPr>
      <w:r>
        <w:t xml:space="preserve">Mi eiga kartlegging av dei 78 design- og arkitekturskulane i Norden viser at AHO er éin av berre to utan ein offentleg prosedyre eller eit uttala krav om etisk vurdering av eksterne samarbeid. Er dette feil, legg fram prosedyren: kvar han ligg, kven som har vedteke han, kva kriterium som gjeld, og korleis ein student kan reservere seg utan fagleg eller sosial kostnad.</w:t>
      </w:r>
    </w:p>
    <w:p>
      <w:pPr>
        <w:spacing w:after="150" w:line="292" w:lineRule="auto"/>
      </w:pPr>
      <w:r>
        <w:t xml:space="preserve">Det same fråvêret syner seg ute i offentlegheita. I februar i år bad Forbrukerrådet og 58 andre organisasjonar og fagfolk, mellom dei Amnesty, UNICEF, Redd Barna, ingeniørane i NITO og Tekna og dei digitale fagmiljøa, </w:t>
      </w:r>
      <w:hyperlink w:history="1" r:id="rIdplu8medwvjkbyo564-2re">
        <w:r>
          <w:rPr>
            <w:rStyle w:val="Hyperlink"/>
            <w:sz w:val="23"/>
            <w:szCs w:val="23"/>
          </w:rPr>
          <w:t xml:space="preserve">regjeringa</w:t>
        </w:r>
      </w:hyperlink>
      <w:r>
        <w:t xml:space="preserve"> om å stoppe nett den forringinga </w:t>
      </w:r>
      <w:hyperlink w:history="1" r:id="rIdkibr8ck31k_fgdztrnc04">
        <w:r>
          <w:rPr>
            <w:rStyle w:val="Hyperlink"/>
            <w:sz w:val="23"/>
            <w:szCs w:val="23"/>
          </w:rPr>
          <w:t xml:space="preserve">rapporten deira</w:t>
        </w:r>
      </w:hyperlink>
      <w:r>
        <w:t xml:space="preserve"> kallar </w:t>
      </w:r>
      <w:r>
        <w:rPr>
          <w:i/>
          <w:iCs/>
        </w:rPr>
        <w:t xml:space="preserve">enshittification</w:t>
      </w:r>
      <w:r>
        <w:t xml:space="preserve">: tenester gjorde dårlegare med vilje, brukarar låste inne, og makt flytt frå folk til plattform. Eit parallelt brev gjekk til </w:t>
      </w:r>
      <w:hyperlink w:history="1" r:id="rIdibraubhfmz2vqdvgmrzl3">
        <w:r>
          <w:rPr>
            <w:rStyle w:val="Hyperlink"/>
            <w:sz w:val="23"/>
            <w:szCs w:val="23"/>
          </w:rPr>
          <w:t xml:space="preserve">EU-kommisjonen</w:t>
        </w:r>
      </w:hyperlink>
      <w:r>
        <w:t xml:space="preserve">. Sjå </w:t>
      </w:r>
      <w:hyperlink w:history="1" r:id="rIdn8_tqymxqkdsuhpczuzog">
        <w:r>
          <w:rPr>
            <w:rStyle w:val="Hyperlink"/>
            <w:sz w:val="23"/>
            <w:szCs w:val="23"/>
          </w:rPr>
          <w:t xml:space="preserve">kven som skreiv under</w:t>
        </w:r>
      </w:hyperlink>
      <w:r>
        <w:t xml:space="preserve">, og kven som ikkje gjorde det. Ikkje éin norsk designskule. Ikkje éitt fagleg designorgan. Ikkje AHO, ikkje KHIO. Ein einskild designar står på lista; institusjonane i faget gjer det ikkje. Faget som teiknar grensesnitta forringinga skjer gjennom, er den eine profesjonen som står utanfor som samla stand. Spørsmålet til deg er like enkelt som det er ubehageleg: kvifor set ikkje du namnet ditt under? Og kvifor gjer ingen i leiinga av norsk design det heller?</w:t>
      </w:r>
    </w:p>
    <w:p>
      <w:pPr>
        <w:spacing w:after="100" w:line="292" w:lineRule="auto"/>
      </w:pPr>
      <w:r>
        <w:t xml:space="preserve">Dette er ikkje mitt krav åleine. Eg har skrive ein kronikk om saka, enno upublisert, og samla fleire dusin underskrifter blant studentane og sju faglærarar ved AHO og KHIO. Viljen finst nedanfrå, hjå dei som skal bere faget vidare. Det som manglar, er ein stad ovanfrå der eit nei kan feste seg. Difor ber eg AHO innføre:</w:t>
      </w:r>
    </w:p>
    <w:p>
      <w:pPr>
        <w:pStyle w:val="ListParagraph"/>
        <w:numPr>
          <w:ilvl w:val="0"/>
          <w:numId w:val="2"/>
        </w:numPr>
        <w:spacing w:after="70" w:line="288" w:lineRule="auto"/>
      </w:pPr>
      <w:r>
        <w:t xml:space="preserve">offentleg etisk vurdering av alle eksterne samarbeid før avtale vert inngått;</w:t>
      </w:r>
    </w:p>
    <w:p>
      <w:pPr>
        <w:pStyle w:val="ListParagraph"/>
        <w:numPr>
          <w:ilvl w:val="0"/>
          <w:numId w:val="2"/>
        </w:numPr>
        <w:spacing w:after="70" w:line="288" w:lineRule="auto"/>
      </w:pPr>
      <w:r>
        <w:t xml:space="preserve">rett for studentar til å reservere seg frå politisk, militært eller overvakingsteknologisk feltinnhald;</w:t>
      </w:r>
    </w:p>
    <w:p>
      <w:pPr>
        <w:pStyle w:val="ListParagraph"/>
        <w:numPr>
          <w:ilvl w:val="0"/>
          <w:numId w:val="2"/>
        </w:numPr>
        <w:spacing w:after="70" w:line="288" w:lineRule="auto"/>
      </w:pPr>
      <w:r>
        <w:t xml:space="preserve">obligatorisk vurdering av klima-, miljø- og maktomsyn i alle større prosjekt;</w:t>
      </w:r>
    </w:p>
    <w:p>
      <w:pPr>
        <w:pStyle w:val="ListParagraph"/>
        <w:numPr>
          <w:ilvl w:val="0"/>
          <w:numId w:val="2"/>
        </w:numPr>
        <w:spacing w:after="70" w:line="288" w:lineRule="auto"/>
      </w:pPr>
      <w:r>
        <w:t xml:space="preserve">eit prosesskjema der studenten dokumenterer både omsyna som vart tekne og dei som vart valde vekk;</w:t>
      </w:r>
    </w:p>
    <w:p>
      <w:pPr>
        <w:pStyle w:val="ListParagraph"/>
        <w:numPr>
          <w:ilvl w:val="0"/>
          <w:numId w:val="2"/>
        </w:numPr>
        <w:spacing w:after="70" w:line="288" w:lineRule="auto"/>
      </w:pPr>
      <w:r>
        <w:t xml:space="preserve">fagleg utteljing for å avvise løysingar som bryt med klima-, miljø- eller etiske krav;</w:t>
      </w:r>
    </w:p>
    <w:p>
      <w:pPr>
        <w:pStyle w:val="ListParagraph"/>
        <w:numPr>
          <w:ilvl w:val="0"/>
          <w:numId w:val="2"/>
        </w:numPr>
        <w:spacing w:after="200" w:line="288" w:lineRule="auto"/>
      </w:pPr>
      <w:r>
        <w:t xml:space="preserve">open dokumentasjon av korleis læringsutbyttet om etikk faktisk vert undervist og vurdert, lagd fram for studentane og Kunnskapsdepartementet.</w:t>
      </w:r>
    </w:p>
    <w:p>
      <w:pPr>
        <w:spacing w:after="320" w:before="60" w:line="292" w:lineRule="auto"/>
      </w:pPr>
      <w:r>
        <w:t xml:space="preserve">Utan dette lærer AHO studentane at ansvar er noko ein nemner, ikkje noko som kan stoppe eit prosjekt. Det er ikkje godt nok. Ein designskule må ha eit nei.</w:t>
      </w:r>
    </w:p>
    <w:p>
      <w:pPr>
        <w:spacing w:after="20" w:before="160"/>
      </w:pPr>
      <w:r>
        <w:rPr>
          <w:b/>
          <w:bCs/>
        </w:rPr>
        <w:t xml:space="preserve">Iver Raknes Finne</w:t>
      </w:r>
    </w:p>
    <w:sectPr>
      <w:pgSz w:w="11906" w:h="16838" w:orient="portrait"/>
      <w:pgMar w:top="1560" w:right="1700" w:bottom="156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rFonts w:ascii="Georgia" w:cs="Georgia" w:eastAsia="Georgia" w:hAnsi="Georgi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xwtw28ycgqy7jg8gzoy0" Type="http://schemas.openxmlformats.org/officeDocument/2006/relationships/hyperlink" Target="https://www.khrono.no/demonstrerte-mot-avtale-med-kongsberg/968874" TargetMode="External"/><Relationship Id="rIdypj-4fjvelcghredpgigj" Type="http://schemas.openxmlformats.org/officeDocument/2006/relationships/hyperlink" Target="https://www.ftm.nl/artikelen/het-nederlandse-leger-doet-al-jaren-in-het-geheim-zaken-met-de-omstreden-techreus-palantir-net-als-de-politie" TargetMode="External"/><Relationship Id="rIdvzkujm5o6iexyewfkwgcb" Type="http://schemas.openxmlformats.org/officeDocument/2006/relationships/hyperlink" Target="https://www.annefrank.org/en/anne-frank/go-in-depth/was-anne-frank-betrayed/" TargetMode="External"/><Relationship Id="rIdup3rn49wowswvkwaogjtu" Type="http://schemas.openxmlformats.org/officeDocument/2006/relationships/hyperlink" Target="https://passblue.com/2025/10/12/palantir-seemingly-everywhere-all-at-once/" TargetMode="External"/><Relationship Id="rIdgvuetke-b1paebpu_nvl0" Type="http://schemas.openxmlformats.org/officeDocument/2006/relationships/hyperlink" Target="https://www.aclu.org/news/privacy-technology/palantir-deportation-roundup" TargetMode="External"/><Relationship Id="rIdbuhfohpdjetwa55lxy1zw" Type="http://schemas.openxmlformats.org/officeDocument/2006/relationships/hyperlink" Target="https://www.972mag.com/lavender-ai-israeli-army-gaza/" TargetMode="External"/><Relationship Id="rId3rubd7-m08519rgepdr0y" Type="http://schemas.openxmlformats.org/officeDocument/2006/relationships/hyperlink" Target="https://www.amnesty.org/en/latest/news/2026/03/usa-iran-those-responsible-for-deadly-and-unlawful-us-strike-on-school-that-killed-over-100-children-must-be-held-accountable/" TargetMode="External"/><Relationship Id="rIdgsplu0qsvsvwq4h3ldsr8" Type="http://schemas.openxmlformats.org/officeDocument/2006/relationships/hyperlink" Target="https://www.hrw.org/news/2026/04/20/was-the-attack-on-an-iranian-primary-school-a-war-crime" TargetMode="External"/><Relationship Id="rIdxtbspew_akyy0rn1dpyq2" Type="http://schemas.openxmlformats.org/officeDocument/2006/relationships/hyperlink" Target="https://www.aho.no/om/nyheter/aktuelt/%E2%80%93-ver-med-pa-a-skape-endringene-samfunnet-trenger-.html" TargetMode="External"/><Relationship Id="rIdpmkgdjebjo9jpt41j6y9j" Type="http://schemas.openxmlformats.org/officeDocument/2006/relationships/hyperlink" Target="https://www.arkitektur.no/aktuelt/utdanning/dramatisk-nedgang-i-soekere-til-aho/" TargetMode="External"/><Relationship Id="rIdijxymrpbiabkmrlqoudae" Type="http://schemas.openxmlformats.org/officeDocument/2006/relationships/hyperlink" Target="https://www.aho.no/studier/program/master-i-design/studieplaner/2024.html" TargetMode="External"/><Relationship Id="rIdxkngwb9n84qrbyqbuvskt" Type="http://schemas.openxmlformats.org/officeDocument/2006/relationships/hyperlink" Target="https://www.aho.no/om/nyheter/aktuelt/%E2%80%93-ver-med-pa-a-skape-endringene-samfunnet-trenger-.html" TargetMode="External"/><Relationship Id="rId7ry45-_db4lti8baeqzzl" Type="http://schemas.openxmlformats.org/officeDocument/2006/relationships/hyperlink" Target="https://www.arkitektur.no/aktuelt/utdanning/faerre-soekere-til-arkitekturutdanningen/" TargetMode="External"/><Relationship Id="rId0gcechrljtwze_ivfvcrw" Type="http://schemas.openxmlformats.org/officeDocument/2006/relationships/hyperlink" Target="https://www.aho.no/om/organisasjon/styret/styremoter/2023/komplett_innkalling_ahos_styremote_10.03.2023_offentlig_versjon.pdf" TargetMode="External"/><Relationship Id="rIduxjlrlay6cujpcy3yteoo" Type="http://schemas.openxmlformats.org/officeDocument/2006/relationships/hyperlink" Target="https://www.nokut.no/norsk-utdanning/nasjonalt-kvalifikasjonsrammeverk-for-livslang-laring/nivaa-i-kvalifikasjonsrammeverket/" TargetMode="External"/><Relationship Id="rIdpify9uodgnqzzc9tgb3yn" Type="http://schemas.openxmlformats.org/officeDocument/2006/relationships/hyperlink" Target="https://lovdata.no/dokument/SF/forskrift/2017-02-07-137" TargetMode="External"/><Relationship Id="rIdplu8medwvjkbyo564-2re" Type="http://schemas.openxmlformats.org/officeDocument/2006/relationships/hyperlink" Target="https://storage02.forbrukerradet.no/media/2026/02/2026-02-27-apent-brev-til-regjeringen.pdf" TargetMode="External"/><Relationship Id="rIdkibr8ck31k_fgdztrnc04" Type="http://schemas.openxmlformats.org/officeDocument/2006/relationships/hyperlink" Target="https://www.forbrukerradet.no/siste-nytt/digitale-produkter-og-tjenester-blir-darligere-men-utviklingen-kan-snus/" TargetMode="External"/><Relationship Id="rIdibraubhfmz2vqdvgmrzl3" Type="http://schemas.openxmlformats.org/officeDocument/2006/relationships/hyperlink" Target="https://storage02.forbrukerradet.no/media/2026/02/2026-02-27-final-letter-to-eu-policymakers-2.pdf" TargetMode="External"/><Relationship Id="rIdn8_tqymxqkdsuhpczuzog" Type="http://schemas.openxmlformats.org/officeDocument/2006/relationships/hyperlink" Target="https://storage02.forbrukerradet.no/media/2026/02/norske-signaturer.pdf" TargetMode="External"/><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2026-06-21T21:45:36.314Z</dcterms:created>
  <dcterms:modified xsi:type="dcterms:W3CDTF">2026-06-21T21:45:36.322Z</dcterms:modified>
</cp:coreProperties>
</file>

<file path=docProps/custom.xml><?xml version="1.0" encoding="utf-8"?>
<Properties xmlns="http://schemas.openxmlformats.org/officeDocument/2006/custom-properties" xmlns:vt="http://schemas.openxmlformats.org/officeDocument/2006/docPropsVTypes"/>
</file>