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INVOICE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Invoice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Yth,</w:t>
      </w:r>
    </w:p>
    <w:p>
      <w:pPr>
        <w:pStyle w:val="pLeft"/>
      </w:pPr>
      <w:r>
        <w:rPr>
          <w:rStyle w:val="fValue"/>
        </w:rPr>
        <w:t xml:space="preserve">Mohon dilakukan pembayaran atas tagihan berikut ini: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5385.826771653543" w:type="dxa"/>
        <w:gridCol w:w="4535.433070866141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385.826771653543" w:type="dxa"/>
            <w:vAlign w:val="top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</w:tc>
        <w:tc>
          <w:tcPr>
            <w:tcW w:w="4535.433070866141" w:type="dxa"/>
            <w:vAlign w:val="top"/>
            <w:noWrap/>
          </w:tcPr>
          <w:tbl>
            <w:tblGrid>
              <w:gridCol w:w="2551.1811023622045" w:type="dxa"/>
              <w:gridCol w:w="1984.251968503937" w:type="dxa"/>
            </w:tblGrid>
            <w:tblPr>
              <w:jc w:val="end"/>
              <w:tblW w:w="0" w:type="auto"/>
              <w:tblLayout w:type="autofit"/>
              <w:tblCellMar>
                <w:top w:w="40" w:type="dxa"/>
                <w:left w:w="40" w:type="dxa"/>
                <w:right w:w="40" w:type="dxa"/>
                <w:bottom w:w="40" w:type="dxa"/>
              </w:tblCellMar>
              <w:tblBorders>
                <w:top w:val="single" w:sz="0"/>
                <w:left w:val="single" w:sz="0"/>
                <w:right w:val="single" w:sz="0"/>
                <w:bottom w:val="single" w:sz="0"/>
                <w:insideH w:val="single" w:sz="0"/>
                <w:insideV w:val="single" w:sz="0"/>
              </w:tblBorders>
            </w:tblP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Subtotal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${subtotal}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Diskon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${discount}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PPN (11%)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${tax}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Total Tagihan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${total_tagihan}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${dp_label}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${dp_value}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${rem_label}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${rem_value}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TotalLabel"/>
                    </w:rPr>
                    <w:t xml:space="preserve">${payment_type_label}</w:t>
                  </w:r>
                </w:p>
              </w:tc>
              <w:tc>
                <w:tcPr>
                  <w:tcW w:w="1984.251968503937" w:type="dxa"/>
                  <w:tcBorders>
                    <w:top w:val="single" w:sz="1" w:color="1A56DB"/>
                    <w:left w:val="single" w:sz="1" w:color="1A56DB"/>
                    <w:right w:val="single" w:sz="1" w:color="1A56DB"/>
                    <w:bottom w:val="single" w:sz="1" w:color="1A56DB"/>
                  </w:tcBorders>
                  <w:shd w:val="clear" w:fill="E8EFFD"/>
                  <w:noWrap/>
                </w:tcPr>
                <w:p>
                  <w:pPr>
                    <w:pStyle w:val="pRight"/>
                  </w:pPr>
                  <w:r>
                    <w:rPr>
                      <w:rStyle w:val="fTotalValue"/>
                    </w:rPr>
                    <w:t xml:space="preserve">${grand_total}</w:t>
                  </w:r>
                </w:p>
              </w:tc>
            </w:tr>
          </w:tbl>
          <w:p/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Pembayaran paling lambat pada tanggal jatuh tempo. Keterlambatan pembayaran akan dikenakan denda sebesar 2% per bulan.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9921.25984251968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9921.25984251968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${po_image}</w:t>
      </w:r>
    </w:p>
    <w:p>
      <w:pPr/>
      <w:r>
        <w:rPr/>
        <w:t xml:space="preserve"> </w:t>
      </w:r>
    </w:p>
    <w:p>
      <w:pPr/>
      <w:r>
        <w:pict>
          <v:shape id="_x0000_s1019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2026-09-02T05:17:59+02:00</dcterms:created>
  <dcterms:modified xsi:type="dcterms:W3CDTF">2026-09-02T05:17:59+02:00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