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0"/>
          <w:szCs w:val="30"/>
        </w:rPr>
      </w:pPr>
      <w:commentRangeStart w:id="0"/>
      <w:r w:rsidDel="00000000" w:rsidR="00000000" w:rsidRPr="00000000">
        <w:rPr>
          <w:rFonts w:ascii="Times New Roman" w:cs="Times New Roman" w:eastAsia="Times New Roman" w:hAnsi="Times New Roman"/>
          <w:b w:val="1"/>
          <w:sz w:val="30"/>
          <w:szCs w:val="30"/>
          <w:rtl w:val="0"/>
        </w:rPr>
        <w:t xml:space="preserve">Wind Integration in ISO New England</w:t>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Final Project 1 Report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EEEL 4220: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System Economics and Optimization</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Columbia University</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Bolun Xu</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2024 </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Marguerite Généreux (mg4778)</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Lukas Houpt (lkh2149)</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Finn Laister Smith (fhl2120)</w:t>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13, 2024</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w:t>
      </w:r>
    </w:p>
    <w:p w:rsidR="00000000" w:rsidDel="00000000" w:rsidP="00000000" w:rsidRDefault="00000000" w:rsidRPr="00000000" w14:paraId="0000002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 New England aims to decarbonize its energy portfolio by incorporating up to 12,000 MW of wind capacity by 2030. This project explores the operational and economic implications of this integration of wind by running a unit commitment model to simulate various scenarios of wind generation capacity. Understanding the trade-offs between wind integration, operational costs, carbon emissions, and generator profit can help build a plan to recommend policies that balance sustainability and economic viability. Through the analysis, this report seeks to inform policymakers on effective strategies, including the use of carbon taxes, production tax credits (PTC) incentives for wind, and the inclusion of solar assets, to achieve a cleaner energy future while maintaining system reliability and cost efficiency.</w:t>
      </w:r>
    </w:p>
    <w:p w:rsidR="00000000" w:rsidDel="00000000" w:rsidP="00000000" w:rsidRDefault="00000000" w:rsidRPr="00000000" w14:paraId="00000029">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is run as a unit commitment problem to analyze the integration of wind power into ISO New England's grid. The problem is formulated as a mixed-integer linear programming (MILP) model, where the objective is to minimize the total operational cost of generation while satisfying system demand, reserve requirements, and generator constraints. The objective function incorporates linear generation costs, startup costs, and a penalty for load shedding to ensure reliability. In order to test sensitivities and integrate as much wind in the system as possible, we ran the following scenarios, each with 5 wind integration cases (0 MW wind, 2000MW wind, 6000MW wind, 12000 MW wind, and 30000 MW wind to help test sensitivities around curtailment):</w:t>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Unit Commitment: with parameters given in the problem statement.</w:t>
      </w:r>
    </w:p>
    <w:p w:rsidR="00000000" w:rsidDel="00000000" w:rsidP="00000000" w:rsidRDefault="00000000" w:rsidRPr="00000000" w14:paraId="0000002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Carbon Allowance Scenario: following the </w:t>
      </w:r>
      <w:hyperlink r:id="rId8">
        <w:r w:rsidDel="00000000" w:rsidR="00000000" w:rsidRPr="00000000">
          <w:rPr>
            <w:rFonts w:ascii="Times New Roman" w:cs="Times New Roman" w:eastAsia="Times New Roman" w:hAnsi="Times New Roman"/>
            <w:color w:val="1155cc"/>
            <w:u w:val="single"/>
            <w:rtl w:val="0"/>
          </w:rPr>
          <w:t xml:space="preserve">Regional Greenhouse Gas Initiative (RGGI)</w:t>
        </w:r>
      </w:hyperlink>
      <w:r w:rsidDel="00000000" w:rsidR="00000000" w:rsidRPr="00000000">
        <w:rPr>
          <w:rFonts w:ascii="Times New Roman" w:cs="Times New Roman" w:eastAsia="Times New Roman" w:hAnsi="Times New Roman"/>
          <w:rtl w:val="0"/>
        </w:rPr>
        <w:t xml:space="preserve"> state by state carbon allowances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numPr>
          <w:ilvl w:val="1"/>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Across all generators in a state, the sum of generation (MWh) times each generator’s emissions (short tons per MWh) based on its fuel type</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cannot exceed the state’s yearly limit, divided by 365 for relevance in a 7-day horizon.</w:t>
      </w:r>
    </w:p>
    <w:p w:rsidR="00000000" w:rsidDel="00000000" w:rsidP="00000000" w:rsidRDefault="00000000" w:rsidRPr="00000000" w14:paraId="0000002E">
      <w:pPr>
        <w:numPr>
          <w:ilvl w:val="1"/>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Ensuring that in day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of optimization, the optimized result does not lead to a required “stay-on” time for a generator in day </w:t>
      </w:r>
      <w:r w:rsidDel="00000000" w:rsidR="00000000" w:rsidRPr="00000000">
        <w:rPr>
          <w:rFonts w:ascii="Times New Roman" w:cs="Times New Roman" w:eastAsia="Times New Roman" w:hAnsi="Times New Roman"/>
          <w:i w:val="1"/>
          <w:rtl w:val="0"/>
        </w:rPr>
        <w:t xml:space="preserve">k+1</w:t>
      </w:r>
      <w:r w:rsidDel="00000000" w:rsidR="00000000" w:rsidRPr="00000000">
        <w:rPr>
          <w:rFonts w:ascii="Times New Roman" w:cs="Times New Roman" w:eastAsia="Times New Roman" w:hAnsi="Times New Roman"/>
          <w:rtl w:val="0"/>
        </w:rPr>
        <w:t xml:space="preserve">, multiplied by its emissions per MWh, does not exceed the state daily limit.</w:t>
      </w:r>
      <w:r w:rsidDel="00000000" w:rsidR="00000000" w:rsidRPr="00000000">
        <w:rPr>
          <w:rtl w:val="0"/>
        </w:rPr>
      </w:r>
    </w:p>
    <w:p w:rsidR="00000000" w:rsidDel="00000000" w:rsidP="00000000" w:rsidRDefault="00000000" w:rsidRPr="00000000" w14:paraId="0000002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tax credits (PTC) incentives for renewables: adding revenue related to wind production to minimize curtailment.</w:t>
      </w:r>
    </w:p>
    <w:p w:rsidR="00000000" w:rsidDel="00000000" w:rsidP="00000000" w:rsidRDefault="00000000" w:rsidRPr="00000000" w14:paraId="0000003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Carbon Tax: Based on articles from Columbia Energy Policy</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our proposed carbon tax rates are: </w:t>
      </w:r>
      <w:r w:rsidDel="00000000" w:rsidR="00000000" w:rsidRPr="00000000">
        <w:rPr>
          <w:rFonts w:ascii="Times New Roman" w:cs="Times New Roman" w:eastAsia="Times New Roman" w:hAnsi="Times New Roman"/>
          <w:b w:val="1"/>
          <w:rtl w:val="0"/>
        </w:rPr>
        <w:t xml:space="preserve">RFO</w:t>
      </w:r>
      <w:r w:rsidDel="00000000" w:rsidR="00000000" w:rsidRPr="00000000">
        <w:rPr>
          <w:rFonts w:ascii="Times New Roman" w:cs="Times New Roman" w:eastAsia="Times New Roman" w:hAnsi="Times New Roman"/>
          <w:rtl w:val="0"/>
        </w:rPr>
        <w:t xml:space="preserve">: $40/MW; </w:t>
      </w:r>
      <w:r w:rsidDel="00000000" w:rsidR="00000000" w:rsidRPr="00000000">
        <w:rPr>
          <w:rFonts w:ascii="Times New Roman" w:cs="Times New Roman" w:eastAsia="Times New Roman" w:hAnsi="Times New Roman"/>
          <w:b w:val="1"/>
          <w:rtl w:val="0"/>
        </w:rPr>
        <w:t xml:space="preserve">BIT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SUB</w:t>
      </w:r>
      <w:r w:rsidDel="00000000" w:rsidR="00000000" w:rsidRPr="00000000">
        <w:rPr>
          <w:rFonts w:ascii="Times New Roman" w:cs="Times New Roman" w:eastAsia="Times New Roman" w:hAnsi="Times New Roman"/>
          <w:rtl w:val="0"/>
        </w:rPr>
        <w:t xml:space="preserve">: $50/MW; </w:t>
      </w:r>
      <w:r w:rsidDel="00000000" w:rsidR="00000000" w:rsidRPr="00000000">
        <w:rPr>
          <w:rFonts w:ascii="Times New Roman" w:cs="Times New Roman" w:eastAsia="Times New Roman" w:hAnsi="Times New Roman"/>
          <w:b w:val="1"/>
          <w:rtl w:val="0"/>
        </w:rPr>
        <w:t xml:space="preserve">NG</w:t>
      </w:r>
      <w:r w:rsidDel="00000000" w:rsidR="00000000" w:rsidRPr="00000000">
        <w:rPr>
          <w:rFonts w:ascii="Times New Roman" w:cs="Times New Roman" w:eastAsia="Times New Roman" w:hAnsi="Times New Roman"/>
          <w:rtl w:val="0"/>
        </w:rPr>
        <w:t xml:space="preserve">: $15/MW. These rates reflect the relative carbon intensities of each fuel type.</w:t>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formal optimization formula or unique constraints for each of the scenarios is as follows:</w:t>
      </w:r>
    </w:p>
    <w:p w:rsidR="00000000" w:rsidDel="00000000" w:rsidP="00000000" w:rsidRDefault="00000000" w:rsidRPr="00000000" w14:paraId="00000032">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Optimization formula: </w:t>
      </w:r>
      <m:oMath>
        <m:r>
          <w:rPr>
            <w:rFonts w:ascii="Times New Roman" w:cs="Times New Roman" w:eastAsia="Times New Roman" w:hAnsi="Times New Roman"/>
          </w:rPr>
          <m:t xml:space="preserve">min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LC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NLC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SUC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 +(9000)</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3">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constraint: </w:t>
      </w:r>
    </w:p>
    <w:p w:rsidR="00000000" w:rsidDel="00000000" w:rsidP="00000000" w:rsidRDefault="00000000" w:rsidRPr="00000000" w14:paraId="00000034">
      <w:pPr>
        <w:numPr>
          <w:ilvl w:val="1"/>
          <w:numId w:val="2"/>
        </w:numPr>
        <w:spacing w:line="240" w:lineRule="auto"/>
        <w:ind w:left="1440" w:hanging="360"/>
        <w:rPr>
          <w:rFonts w:ascii="Times New Roman" w:cs="Times New Roman" w:eastAsia="Times New Roman" w:hAnsi="Times New Roman"/>
        </w:rPr>
      </w:pPr>
      <m:oMath>
        <m:r>
          <w:rPr>
            <w:rFonts w:ascii="Times New Roman" w:cs="Times New Roman" w:eastAsia="Times New Roman" w:hAnsi="Times New Roman"/>
          </w:rPr>
          <m:t xml:space="preserve">CO2Limi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state </m:t>
            </m:r>
          </m:sub>
        </m:sSub>
        <m:r>
          <w:rPr>
            <w:rFonts w:ascii="Times New Roman" w:cs="Times New Roman" w:eastAsia="Times New Roman" w:hAnsi="Times New Roman"/>
          </w:rPr>
          <m:t xml:space="preserve">/ 365 ≥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*(CO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2</m:t>
            </m:r>
          </m:e>
          <m:sub>
            <m:r>
              <w:rPr>
                <w:rFonts w:ascii="Times New Roman" w:cs="Times New Roman" w:eastAsia="Times New Roman" w:hAnsi="Times New Roman"/>
              </w:rPr>
              <m:t xml:space="preserve">short  tons</m:t>
            </m:r>
          </m:sub>
        </m:sSub>
        <m:r>
          <w:rPr>
            <w:rFonts w:ascii="Times New Roman" w:cs="Times New Roman" w:eastAsia="Times New Roman" w:hAnsi="Times New Roman"/>
          </w:rPr>
          <m:t xml:space="preserve">/MWh) ∀i </m:t>
        </m:r>
        <m:r>
          <w:rPr>
            <w:rFonts w:ascii="Roboto" w:cs="Roboto" w:eastAsia="Roboto" w:hAnsi="Roboto"/>
            <w:color w:val="001d35"/>
            <w:shd w:fill="d3e3fd" w:val="clear"/>
          </w:rPr>
          <m:t xml:space="preserve">∈</m:t>
        </m:r>
        <m:r>
          <w:rPr>
            <w:rFonts w:ascii="Times New Roman" w:cs="Times New Roman" w:eastAsia="Times New Roman" w:hAnsi="Times New Roman"/>
          </w:rPr>
          <m:t xml:space="preserve"> state</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5">
      <w:pPr>
        <w:numPr>
          <w:ilvl w:val="1"/>
          <w:numId w:val="2"/>
        </w:numPr>
        <w:spacing w:line="240" w:lineRule="auto"/>
        <w:ind w:left="1440" w:hanging="360"/>
        <w:rPr>
          <w:rFonts w:ascii="Times New Roman" w:cs="Times New Roman" w:eastAsia="Times New Roman" w:hAnsi="Times New Roman"/>
        </w:rPr>
      </w:pPr>
      <m:oMath/>
      <m:oMath>
        <m:r>
          <w:rPr>
            <w:rFonts w:ascii="Times New Roman" w:cs="Times New Roman" w:eastAsia="Times New Roman" w:hAnsi="Times New Roman"/>
          </w:rPr>
          <m:t xml:space="preserve">If u[i, 23]=1, CO2Limi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state </m:t>
            </m:r>
          </m:sub>
        </m:sSub>
        <m:r>
          <w:rPr>
            <w:rFonts w:ascii="Times New Roman" w:cs="Times New Roman" w:eastAsia="Times New Roman" w:hAnsi="Times New Roman"/>
          </w:rPr>
          <m:t xml:space="preserve">/ 365 ≥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*(CO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2</m:t>
            </m:r>
          </m:e>
          <m:sub>
            <m:r>
              <w:rPr>
                <w:rFonts w:ascii="Times New Roman" w:cs="Times New Roman" w:eastAsia="Times New Roman" w:hAnsi="Times New Roman"/>
              </w:rPr>
              <m:t xml:space="preserve">short  tons</m:t>
            </m:r>
          </m:sub>
        </m:sSub>
        <m:r>
          <w:rPr>
            <w:rFonts w:ascii="Times New Roman" w:cs="Times New Roman" w:eastAsia="Times New Roman" w:hAnsi="Times New Roman"/>
          </w:rPr>
          <m:t xml:space="preserve">/MWh) ∀i </m:t>
        </m:r>
        <m:r>
          <w:rPr>
            <w:rFonts w:ascii="Roboto" w:cs="Roboto" w:eastAsia="Roboto" w:hAnsi="Roboto"/>
            <w:color w:val="001d35"/>
            <w:shd w:fill="d3e3fd" w:val="clear"/>
          </w:rPr>
          <m:t xml:space="preserve">∈</m:t>
        </m:r>
        <m:r>
          <w:rPr>
            <w:rFonts w:ascii="Times New Roman" w:cs="Times New Roman" w:eastAsia="Times New Roman" w:hAnsi="Times New Roman"/>
          </w:rPr>
          <m:t xml:space="preserve"> state</m:t>
        </m:r>
      </m:oMath>
      <w:r w:rsidDel="00000000" w:rsidR="00000000" w:rsidRPr="00000000">
        <w:rPr>
          <w:rtl w:val="0"/>
        </w:rPr>
      </w:r>
    </w:p>
    <w:p w:rsidR="00000000" w:rsidDel="00000000" w:rsidP="00000000" w:rsidRDefault="00000000" w:rsidRPr="00000000" w14:paraId="00000036">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optimization formula: </w:t>
      </w:r>
      <m:oMath>
        <m:r>
          <w:rPr>
            <w:rFonts w:ascii="Times New Roman" w:cs="Times New Roman" w:eastAsia="Times New Roman" w:hAnsi="Times New Roman"/>
          </w:rPr>
          <m:t xml:space="preserve">min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LC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NLC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SUC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 +(9000)</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r>
          <w:rPr>
            <w:rFonts w:ascii="Times New Roman" w:cs="Times New Roman" w:eastAsia="Times New Roman" w:hAnsi="Times New Roman"/>
          </w:rPr>
          <m:t xml:space="preserve">w PT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wind</m:t>
            </m:r>
          </m:sub>
        </m:sSub>
        <m:r>
          <w:rPr>
            <w:rFonts w:ascii="Times New Roman" w:cs="Times New Roman" w:eastAsia="Times New Roman" w:hAnsi="Times New Roman"/>
          </w:rPr>
          <m:t xml:space="preserve">-</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PT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nuc</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7">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optimization formula: </w:t>
      </w:r>
      <m:oMath>
        <m:r>
          <w:rPr>
            <w:rFonts w:ascii="Times New Roman" w:cs="Times New Roman" w:eastAsia="Times New Roman" w:hAnsi="Times New Roman"/>
          </w:rPr>
          <m:t xml:space="preserve">min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LC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NLC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SUC</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 ) +(9000)</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RFO</m:t>
            </m:r>
          </m:sub>
        </m:sSub>
        <m:r>
          <w:rPr>
            <w:rFonts w:ascii="Times New Roman" w:cs="Times New Roman" w:eastAsia="Times New Roman" w:hAnsi="Times New Roman"/>
          </w:rPr>
          <m:t xml:space="preserve"> +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NG</m:t>
            </m:r>
          </m:sub>
        </m:sSub>
        <m:r>
          <w:rPr>
            <w:rFonts w:ascii="Times New Roman" w:cs="Times New Roman" w:eastAsia="Times New Roman" w:hAnsi="Times New Roman"/>
          </w:rPr>
          <m:t xml:space="preserve">+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ax</m:t>
            </m:r>
          </m:e>
          <m:sub>
            <m:r>
              <w:rPr>
                <w:rFonts w:ascii="Times New Roman" w:cs="Times New Roman" w:eastAsia="Times New Roman" w:hAnsi="Times New Roman"/>
              </w:rPr>
              <m:t xml:space="preserve">BIT</m:t>
            </m:r>
          </m:sub>
        </m:sSub>
        <m:r>
          <w:rPr>
            <w:rFonts w:ascii="Times New Roman" w:cs="Times New Roman" w:eastAsia="Times New Roman" w:hAnsi="Times New Roman"/>
          </w:rPr>
          <m:t xml:space="preserve">+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i,t</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ax</m:t>
            </m:r>
          </m:e>
          <m:sub>
            <m:r>
              <w:rPr>
                <w:rFonts w:ascii="Times New Roman" w:cs="Times New Roman" w:eastAsia="Times New Roman" w:hAnsi="Times New Roman"/>
              </w:rPr>
              <m:t xml:space="preserve">SUB</m:t>
            </m:r>
          </m:sub>
        </m:sSub>
      </m:oMath>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manage computational complexity, the analysis is performed sequentially for daily horizons (24 hours) with updated generator states. Key metrics such as total generation cost, wind curtailment ratio, generator profits, and average electricity price are used to evaluate each scenario. This methodology enables a comparison of operational trade-offs and the effectiveness of possible policy.</w:t>
      </w:r>
    </w:p>
    <w:p w:rsidR="00000000" w:rsidDel="00000000" w:rsidP="00000000" w:rsidRDefault="00000000" w:rsidRPr="00000000" w14:paraId="00000039">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Findings:  </w:t>
      </w:r>
      <w:r w:rsidDel="00000000" w:rsidR="00000000" w:rsidRPr="00000000">
        <w:rPr>
          <w:rtl w:val="0"/>
        </w:rPr>
      </w:r>
    </w:p>
    <w:p w:rsidR="00000000" w:rsidDel="00000000" w:rsidP="00000000" w:rsidRDefault="00000000" w:rsidRPr="00000000" w14:paraId="000000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summary of scenarios run is in </w:t>
      </w: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below. We compare each of these runs on the basis of total generation cost, wind curtailment ratio, average electricity price and generator profit for each wind integration case. We focus scenario comparisons on the 12000 MW case, as shown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Summary of Scenario 1 Results Over 7 Day Optimization</w:t>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340"/>
        <w:gridCol w:w="975"/>
        <w:gridCol w:w="1035"/>
        <w:gridCol w:w="1020"/>
        <w:gridCol w:w="1095"/>
        <w:gridCol w:w="1155"/>
        <w:tblGridChange w:id="0">
          <w:tblGrid>
            <w:gridCol w:w="1395"/>
            <w:gridCol w:w="2340"/>
            <w:gridCol w:w="975"/>
            <w:gridCol w:w="1035"/>
            <w:gridCol w:w="1020"/>
            <w:gridCol w:w="1095"/>
            <w:gridCol w:w="1155"/>
          </w:tblGrid>
        </w:tblGridChange>
      </w:tblGrid>
      <w:tr>
        <w:trPr>
          <w:cantSplit w:val="0"/>
          <w:trHeight w:val="553.29427083333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0 MW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2000 MW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6000 MW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12000 MW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30000 MW Wind</w:t>
            </w:r>
          </w:p>
        </w:tc>
      </w:tr>
      <w:tr>
        <w:trPr>
          <w:cantSplit w:val="0"/>
          <w:trHeight w:val="311.302083333332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Scenario 1: Simple Unit Commitment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Total Gen. Cost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$ 39.7</w:t>
            </w:r>
          </w:p>
        </w:tc>
      </w:tr>
      <w:tr>
        <w:trPr>
          <w:cantSplit w:val="0"/>
          <w:trHeight w:val="411.3020833333303"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Avg. Wind Curtailment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Avg. Electricity Price ($/MWh)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$42.01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Generator Revenue($MM)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$181.597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$103.27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Total Generator Profit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$63.6</w:t>
            </w:r>
          </w:p>
        </w:tc>
      </w:tr>
    </w:tbl>
    <w:p w:rsidR="00000000" w:rsidDel="00000000" w:rsidP="00000000" w:rsidRDefault="00000000" w:rsidRPr="00000000" w14:paraId="000000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Summary of 12000 MW Wind Case Over 7 Day Optimization</w:t>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400"/>
        <w:gridCol w:w="1260"/>
        <w:gridCol w:w="1110"/>
        <w:gridCol w:w="1470"/>
        <w:gridCol w:w="1365"/>
        <w:tblGridChange w:id="0">
          <w:tblGrid>
            <w:gridCol w:w="1455"/>
            <w:gridCol w:w="2400"/>
            <w:gridCol w:w="1260"/>
            <w:gridCol w:w="1110"/>
            <w:gridCol w:w="1470"/>
            <w:gridCol w:w="1365"/>
          </w:tblGrid>
        </w:tblGridChange>
      </w:tblGrid>
      <w:tr>
        <w:trPr>
          <w:cantSplit w:val="0"/>
          <w:trHeight w:val="332.958984374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Scenario 1 - Simple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Scenario 2 - Carbon Allowance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4"/>
                <w:szCs w:val="14"/>
                <w:rtl w:val="0"/>
              </w:rPr>
              <w:t xml:space="preserve">Scenario 3 - PTC </w:t>
            </w:r>
            <w:r w:rsidDel="00000000" w:rsidR="00000000" w:rsidRPr="00000000">
              <w:rPr>
                <w:rFonts w:ascii="Times New Roman" w:cs="Times New Roman" w:eastAsia="Times New Roman" w:hAnsi="Times New Roman"/>
                <w:b w:val="1"/>
                <w:sz w:val="10"/>
                <w:szCs w:val="10"/>
                <w:rtl w:val="0"/>
              </w:rPr>
              <w:t xml:space="preserve">(Total Gen. cost has PTC revenue subtracted)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Scenario 4 - Carbon Tax</w:t>
            </w:r>
          </w:p>
        </w:tc>
      </w:tr>
      <w:tr>
        <w:trPr>
          <w:cantSplit w:val="0"/>
          <w:trHeight w:val="19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12000 MW Wind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Total Gen. Cost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$2.565K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$76.6</w:t>
            </w:r>
          </w:p>
        </w:tc>
      </w:tr>
      <w:tr>
        <w:trPr>
          <w:cantSplit w:val="0"/>
          <w:trHeight w:val="411.3020833333303"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Avg. Wind Curtailment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0.09%</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Avg. Electricity Price ($/MWh)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$5766.54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$75.64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Generator Revenue($MM)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$13.85K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$183.42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Total Generator Profit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$11.3K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$106.82</w:t>
            </w:r>
          </w:p>
        </w:tc>
      </w:tr>
    </w:tbl>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Digging into Scenario 1 -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Simple Unit Commitment:</w:t>
      </w:r>
    </w:p>
    <w:p w:rsidR="00000000" w:rsidDel="00000000" w:rsidP="00000000" w:rsidRDefault="00000000" w:rsidRPr="00000000" w14:paraId="0000008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Generation vs. Demand: </w:t>
      </w:r>
      <w:r w:rsidDel="00000000" w:rsidR="00000000" w:rsidRPr="00000000">
        <w:rPr>
          <w:rFonts w:ascii="Times New Roman" w:cs="Times New Roman" w:eastAsia="Times New Roman" w:hAnsi="Times New Roman"/>
          <w:rtl w:val="0"/>
        </w:rPr>
        <w:t xml:space="preserve">The system successfully meets the demand across all wind capacity scenarios, with no load shedding observed, as shown in </w:t>
      </w:r>
      <w:r w:rsidDel="00000000" w:rsidR="00000000" w:rsidRPr="00000000">
        <w:rPr>
          <w:rFonts w:ascii="Times New Roman" w:cs="Times New Roman" w:eastAsia="Times New Roman" w:hAnsi="Times New Roman"/>
          <w:b w:val="1"/>
          <w:rtl w:val="0"/>
        </w:rPr>
        <w:t xml:space="preserve">Appendix B. </w:t>
      </w:r>
    </w:p>
    <w:p w:rsidR="00000000" w:rsidDel="00000000" w:rsidP="00000000" w:rsidRDefault="00000000" w:rsidRPr="00000000" w14:paraId="0000008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Wind Curtailment: </w:t>
      </w:r>
      <w:r w:rsidDel="00000000" w:rsidR="00000000" w:rsidRPr="00000000">
        <w:rPr>
          <w:rFonts w:ascii="Times New Roman" w:cs="Times New Roman" w:eastAsia="Times New Roman" w:hAnsi="Times New Roman"/>
          <w:rtl w:val="0"/>
        </w:rPr>
        <w:t xml:space="preserve">The results indicate no wind curtailment in the 2,000 MW and 6,000 MW scenarios, suggesting that the system can fully utilize the available wind generation under these capacities. In the 12,000 MW scenario, a small amount of curtailment is observed, due to the system's inability to fully absorb the additional wind generation during periods of low demand or high wind output, while respecting all generator constraints. </w:t>
      </w:r>
    </w:p>
    <w:p w:rsidR="00000000" w:rsidDel="00000000" w:rsidP="00000000" w:rsidRDefault="00000000" w:rsidRPr="00000000" w14:paraId="0000008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 Analysis: </w:t>
      </w:r>
      <w:r w:rsidDel="00000000" w:rsidR="00000000" w:rsidRPr="00000000">
        <w:rPr>
          <w:rFonts w:ascii="Times New Roman" w:cs="Times New Roman" w:eastAsia="Times New Roman" w:hAnsi="Times New Roman"/>
          <w:rtl w:val="0"/>
        </w:rPr>
        <w:t xml:space="preserve">The total generation cost decreases as wind capacity increases as shown in </w:t>
      </w: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below, driven by the zero marginal cost of wind power. However, the cost difference becomes less pronounced through day 7, which aligns with the decreasing wind contribution over time, as reflected in the wind capacity factor data shown in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F">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1853063" cy="1092144"/>
            <wp:effectExtent b="0" l="0" r="0" t="0"/>
            <wp:docPr id="8" name="image2.png"/>
            <a:graphic>
              <a:graphicData uri="http://schemas.openxmlformats.org/drawingml/2006/picture">
                <pic:pic>
                  <pic:nvPicPr>
                    <pic:cNvPr id="0" name="image2.png"/>
                    <pic:cNvPicPr preferRelativeResize="0"/>
                  </pic:nvPicPr>
                  <pic:blipFill>
                    <a:blip r:embed="rId9"/>
                    <a:srcRect b="0" l="1127" r="0" t="0"/>
                    <a:stretch>
                      <a:fillRect/>
                    </a:stretch>
                  </pic:blipFill>
                  <pic:spPr>
                    <a:xfrm>
                      <a:off x="0" y="0"/>
                      <a:ext cx="1853063" cy="109214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933575" cy="1047353"/>
            <wp:effectExtent b="0" l="0" r="0" t="0"/>
            <wp:docPr descr="Output image" id="23" name="image14.png"/>
            <a:graphic>
              <a:graphicData uri="http://schemas.openxmlformats.org/drawingml/2006/picture">
                <pic:pic>
                  <pic:nvPicPr>
                    <pic:cNvPr descr="Output image" id="0" name="image14.png"/>
                    <pic:cNvPicPr preferRelativeResize="0"/>
                  </pic:nvPicPr>
                  <pic:blipFill>
                    <a:blip r:embed="rId10"/>
                    <a:srcRect b="0" l="0" r="0" t="0"/>
                    <a:stretch>
                      <a:fillRect/>
                    </a:stretch>
                  </pic:blipFill>
                  <pic:spPr>
                    <a:xfrm>
                      <a:off x="0" y="0"/>
                      <a:ext cx="1933575" cy="104735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Scenario 1 Optimal Costs. </w:t>
        <w:tab/>
        <w:tab/>
      </w: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Wind Capacity Factor.</w:t>
      </w:r>
      <w:r w:rsidDel="00000000" w:rsidR="00000000" w:rsidRPr="00000000">
        <w:rPr>
          <w:rtl w:val="0"/>
        </w:rPr>
      </w:r>
    </w:p>
    <w:p w:rsidR="00000000" w:rsidDel="00000000" w:rsidP="00000000" w:rsidRDefault="00000000" w:rsidRPr="00000000" w14:paraId="0000009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 Analysis: </w:t>
      </w:r>
      <w:r w:rsidDel="00000000" w:rsidR="00000000" w:rsidRPr="00000000">
        <w:rPr>
          <w:rFonts w:ascii="Times New Roman" w:cs="Times New Roman" w:eastAsia="Times New Roman" w:hAnsi="Times New Roman"/>
          <w:rtl w:val="0"/>
        </w:rPr>
        <w:t xml:space="preserve">The hourly average electricity price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peaks in the late morning and evening, which aligns with the interplay between wind capacity and system demand shown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As demand ramps, and wind capacity decreases around hour 10, prices spike. Similarly, around hour 21, when demand is high and there is a dip in wind, prices spike.</w:t>
      </w:r>
    </w:p>
    <w:p w:rsidR="00000000" w:rsidDel="00000000" w:rsidP="00000000" w:rsidRDefault="00000000" w:rsidRPr="00000000" w14:paraId="00000092">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1825936" cy="1018310"/>
            <wp:effectExtent b="0" l="0" r="0" t="0"/>
            <wp:docPr id="2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825936" cy="101831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90688" cy="1059002"/>
            <wp:effectExtent b="0" l="0" r="0" t="0"/>
            <wp:docPr id="3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690688" cy="105900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Hourly Electricity Price. </w:t>
        <w:tab/>
        <w:t xml:space="preserve">          </w:t>
      </w: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Wind Capacity Factor.</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9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Generator On/Off States: </w:t>
      </w:r>
      <w:r w:rsidDel="00000000" w:rsidR="00000000" w:rsidRPr="00000000">
        <w:rPr>
          <w:rFonts w:ascii="Times New Roman" w:cs="Times New Roman" w:eastAsia="Times New Roman" w:hAnsi="Times New Roman"/>
          <w:rtl w:val="0"/>
        </w:rPr>
        <w:t xml:space="preserve">The heatmaps of generator states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highlight the reduced reliance on traditional generators as wind capacity increases. In the higher wind scenarios, coal and gas generators experience more frequent shutdowns or operate at reduced output levels, consistent with the priority given to wind as a zero-cost resource.</w:t>
      </w:r>
    </w:p>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404938" cy="1248833"/>
            <wp:effectExtent b="0" l="0" r="0" t="0"/>
            <wp:docPr id="33" name="image24.png"/>
            <a:graphic>
              <a:graphicData uri="http://schemas.openxmlformats.org/drawingml/2006/picture">
                <pic:pic>
                  <pic:nvPicPr>
                    <pic:cNvPr id="0" name="image24.png"/>
                    <pic:cNvPicPr preferRelativeResize="0"/>
                  </pic:nvPicPr>
                  <pic:blipFill>
                    <a:blip r:embed="rId13"/>
                    <a:srcRect b="0" l="0" r="7911" t="0"/>
                    <a:stretch>
                      <a:fillRect/>
                    </a:stretch>
                  </pic:blipFill>
                  <pic:spPr>
                    <a:xfrm>
                      <a:off x="0" y="0"/>
                      <a:ext cx="1404938" cy="124883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547813" cy="1243778"/>
            <wp:effectExtent b="0" l="0" r="0" t="0"/>
            <wp:docPr id="2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547813" cy="124377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Generator On/Off States for 0 MW vs. 12,000 MW Wind Cases.</w:t>
      </w:r>
    </w:p>
    <w:p w:rsidR="00000000" w:rsidDel="00000000" w:rsidP="00000000" w:rsidRDefault="00000000" w:rsidRPr="00000000" w14:paraId="00000097">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Ramping Analysis:</w:t>
      </w:r>
      <w:r w:rsidDel="00000000" w:rsidR="00000000" w:rsidRPr="00000000">
        <w:rPr>
          <w:rtl w:val="0"/>
        </w:rPr>
      </w:r>
    </w:p>
    <w:p w:rsidR="00000000" w:rsidDel="00000000" w:rsidP="00000000" w:rsidRDefault="00000000" w:rsidRPr="00000000" w14:paraId="00000098">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Ramping increases as wind capacity increases, as power plants are forced to compensate for larger wind generation fluctuations. On the other hand, ramping is notably smaller in the Carbon Allowance and Carbon Tax scenarios than the Base and PTC scenarios for a given wind nameplate capacity value because thermal generators are discouraged altogether. See appendix for additional visualizations.</w:t>
      </w:r>
    </w:p>
    <w:p w:rsidR="00000000" w:rsidDel="00000000" w:rsidP="00000000" w:rsidRDefault="00000000" w:rsidRPr="00000000" w14:paraId="0000009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 Comparison: </w:t>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from the base unit commitment problem in  scenario 1, running scenarios 2-4 highlighted the following effects in  the optimization for the 12000 MW Wind case:  </w:t>
      </w:r>
    </w:p>
    <w:p w:rsidR="00000000" w:rsidDel="00000000" w:rsidP="00000000" w:rsidRDefault="00000000" w:rsidRPr="00000000" w14:paraId="0000009B">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Generation cost: </w:t>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14563" cy="1314896"/>
            <wp:effectExtent b="0" l="0" r="0" t="0"/>
            <wp:docPr id="44"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214563" cy="131489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695450" cy="941917"/>
            <wp:effectExtent b="0" l="0" r="0" t="0"/>
            <wp:docPr id="19" name="image12.png"/>
            <a:graphic>
              <a:graphicData uri="http://schemas.openxmlformats.org/drawingml/2006/picture">
                <pic:pic>
                  <pic:nvPicPr>
                    <pic:cNvPr id="0" name="image12.png"/>
                    <pic:cNvPicPr preferRelativeResize="0"/>
                  </pic:nvPicPr>
                  <pic:blipFill>
                    <a:blip r:embed="rId16"/>
                    <a:srcRect b="0" l="961" r="0" t="1459"/>
                    <a:stretch>
                      <a:fillRect/>
                    </a:stretch>
                  </pic:blipFill>
                  <pic:spPr>
                    <a:xfrm>
                      <a:off x="0" y="0"/>
                      <a:ext cx="1695450" cy="9419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542925</wp:posOffset>
                </wp:positionV>
                <wp:extent cx="1485900" cy="771525"/>
                <wp:effectExtent b="0" l="0" r="0" t="0"/>
                <wp:wrapNone/>
                <wp:docPr id="5" name=""/>
                <a:graphic>
                  <a:graphicData uri="http://schemas.microsoft.com/office/word/2010/wordprocessingShape">
                    <wps:wsp>
                      <wps:cNvSpPr/>
                      <wps:cNvPr id="6" name="Shape 6"/>
                      <wps:spPr>
                        <a:xfrm>
                          <a:off x="466950" y="507550"/>
                          <a:ext cx="2527500" cy="1766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542925</wp:posOffset>
                </wp:positionV>
                <wp:extent cx="1485900" cy="771525"/>
                <wp:effectExtent b="0" l="0" r="0" t="0"/>
                <wp:wrapNone/>
                <wp:docPr id="5"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1485900" cy="771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364371</wp:posOffset>
                </wp:positionV>
                <wp:extent cx="1571625" cy="1007229"/>
                <wp:effectExtent b="0" l="0" r="0" t="0"/>
                <wp:wrapNone/>
                <wp:docPr id="6" name=""/>
                <a:graphic>
                  <a:graphicData uri="http://schemas.microsoft.com/office/word/2010/wordprocessingShape">
                    <wps:wsp>
                      <wps:cNvSpPr/>
                      <wps:cNvPr id="7" name="Shape 7"/>
                      <wps:spPr>
                        <a:xfrm>
                          <a:off x="1654600" y="1167350"/>
                          <a:ext cx="2883000" cy="1959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364371</wp:posOffset>
                </wp:positionV>
                <wp:extent cx="1571625" cy="1007229"/>
                <wp:effectExtent b="0" l="0" r="0" t="0"/>
                <wp:wrapNone/>
                <wp:docPr id="6"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1571625" cy="1007229"/>
                        </a:xfrm>
                        <a:prstGeom prst="rect"/>
                        <a:ln/>
                      </pic:spPr>
                    </pic:pic>
                  </a:graphicData>
                </a:graphic>
              </wp:anchor>
            </w:drawing>
          </mc:Fallback>
        </mc:AlternateContent>
      </w:r>
    </w:p>
    <w:p w:rsidR="00000000" w:rsidDel="00000000" w:rsidP="00000000" w:rsidRDefault="00000000" w:rsidRPr="00000000" w14:paraId="0000009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Total Generation Cost by Scenario.</w:t>
      </w:r>
    </w:p>
    <w:p w:rsidR="00000000" w:rsidDel="00000000" w:rsidP="00000000" w:rsidRDefault="00000000" w:rsidRPr="00000000" w14:paraId="0000009E">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Curtailment Comparison:</w:t>
        <w:tab/>
        <w:tab/>
        <w:tab/>
        <w:t xml:space="preserve"> CO2 Emissions comparisons:</w:t>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tbl>
      <w:tblPr>
        <w:tblStyle w:val="Table3"/>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657350" cy="100844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657350" cy="1008440"/>
                          </a:xfrm>
                          <a:prstGeom prst="rect"/>
                          <a:ln/>
                        </pic:spPr>
                      </pic:pic>
                    </a:graphicData>
                  </a:graphic>
                </wp:inline>
              </w:drawing>
            </w:r>
            <w:r w:rsidDel="00000000" w:rsidR="00000000" w:rsidRPr="00000000">
              <w:rPr>
                <w:rtl w:val="0"/>
              </w:rPr>
            </w:r>
          </w:p>
        </w:tc>
        <w:tc>
          <w:tcPr>
            <w:shd w:fill="auto" w:val="clear"/>
            <w:tcMar>
              <w:top w:w="-1052.6399999999999" w:type="dxa"/>
              <w:left w:w="-1052.6399999999999" w:type="dxa"/>
              <w:bottom w:w="-1052.6399999999999" w:type="dxa"/>
              <w:right w:w="-1052.6399999999999" w:type="dxa"/>
            </w:tcMar>
            <w:vAlign w:val="top"/>
          </w:tcPr>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147888" cy="1651487"/>
                  <wp:effectExtent b="0" l="0" r="0" t="0"/>
                  <wp:docPr id="50"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147888" cy="16514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 </w:t>
      </w:r>
      <w:r w:rsidDel="00000000" w:rsidR="00000000" w:rsidRPr="00000000">
        <w:rPr>
          <w:rFonts w:ascii="Times New Roman" w:cs="Times New Roman" w:eastAsia="Times New Roman" w:hAnsi="Times New Roman"/>
          <w:rtl w:val="0"/>
        </w:rPr>
        <w:t xml:space="preserve">Total Generation Cost by Scenario           </w:t>
      </w: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CO2 Emissions by Scenario</w:t>
      </w:r>
      <w:r w:rsidDel="00000000" w:rsidR="00000000" w:rsidRPr="00000000">
        <w:rPr>
          <w:rtl w:val="0"/>
        </w:rPr>
      </w:r>
    </w:p>
    <w:p w:rsidR="00000000" w:rsidDel="00000000" w:rsidP="00000000" w:rsidRDefault="00000000" w:rsidRPr="00000000" w14:paraId="000000A4">
      <w:pPr>
        <w:numPr>
          <w:ilvl w:val="0"/>
          <w:numId w:val="8"/>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Average price comparison:</w:t>
      </w:r>
    </w:p>
    <w:p w:rsidR="00000000" w:rsidDel="00000000" w:rsidP="00000000" w:rsidRDefault="00000000" w:rsidRPr="00000000" w14:paraId="000000A5">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009775" cy="1276350"/>
            <wp:effectExtent b="0" l="0" r="0" t="0"/>
            <wp:docPr id="3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009775" cy="127635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500188" cy="885825"/>
            <wp:effectExtent b="0" l="0" r="0" t="0"/>
            <wp:docPr id="48"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1500188" cy="8858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704850</wp:posOffset>
                </wp:positionV>
                <wp:extent cx="1157288" cy="638175"/>
                <wp:effectExtent b="0" l="0" r="0" t="0"/>
                <wp:wrapNone/>
                <wp:docPr id="3" name=""/>
                <a:graphic>
                  <a:graphicData uri="http://schemas.microsoft.com/office/word/2010/wordprocessingShape">
                    <wps:wsp>
                      <wps:cNvSpPr/>
                      <wps:cNvPr id="4" name="Shape 4"/>
                      <wps:spPr>
                        <a:xfrm>
                          <a:off x="1015100" y="649675"/>
                          <a:ext cx="2517600" cy="1573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704850</wp:posOffset>
                </wp:positionV>
                <wp:extent cx="1157288" cy="638175"/>
                <wp:effectExtent b="0" l="0" r="0" t="0"/>
                <wp:wrapNone/>
                <wp:docPr id="3"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1157288" cy="6381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447675</wp:posOffset>
                </wp:positionV>
                <wp:extent cx="1409700" cy="895350"/>
                <wp:effectExtent b="0" l="0" r="0" t="0"/>
                <wp:wrapNone/>
                <wp:docPr id="1" name=""/>
                <a:graphic>
                  <a:graphicData uri="http://schemas.microsoft.com/office/word/2010/wordprocessingShape">
                    <wps:wsp>
                      <wps:cNvSpPr/>
                      <wps:cNvPr id="2" name="Shape 2"/>
                      <wps:spPr>
                        <a:xfrm>
                          <a:off x="1471900" y="1035400"/>
                          <a:ext cx="2385600" cy="151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447675</wp:posOffset>
                </wp:positionV>
                <wp:extent cx="1409700" cy="895350"/>
                <wp:effectExtent b="0" l="0" r="0" t="0"/>
                <wp:wrapNone/>
                <wp:docPr id="1"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1409700" cy="895350"/>
                        </a:xfrm>
                        <a:prstGeom prst="rect"/>
                        <a:ln/>
                      </pic:spPr>
                    </pic:pic>
                  </a:graphicData>
                </a:graphic>
              </wp:anchor>
            </w:drawing>
          </mc:Fallback>
        </mc:AlternateContent>
      </w:r>
    </w:p>
    <w:p w:rsidR="00000000" w:rsidDel="00000000" w:rsidP="00000000" w:rsidRDefault="00000000" w:rsidRPr="00000000" w14:paraId="000000A6">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w:t>
      </w:r>
      <w:r w:rsidDel="00000000" w:rsidR="00000000" w:rsidRPr="00000000">
        <w:rPr>
          <w:rFonts w:ascii="Times New Roman" w:cs="Times New Roman" w:eastAsia="Times New Roman" w:hAnsi="Times New Roman"/>
          <w:rtl w:val="0"/>
        </w:rPr>
        <w:t xml:space="preserve">Average Price by Scenario.</w:t>
      </w:r>
      <w:r w:rsidDel="00000000" w:rsidR="00000000" w:rsidRPr="00000000">
        <w:rPr>
          <w:rtl w:val="0"/>
        </w:rPr>
      </w:r>
    </w:p>
    <w:p w:rsidR="00000000" w:rsidDel="00000000" w:rsidP="00000000" w:rsidRDefault="00000000" w:rsidRPr="00000000" w14:paraId="000000A7">
      <w:pPr>
        <w:numPr>
          <w:ilvl w:val="0"/>
          <w:numId w:val="8"/>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Profit comparison:</w:t>
      </w:r>
    </w:p>
    <w:p w:rsidR="00000000" w:rsidDel="00000000" w:rsidP="00000000" w:rsidRDefault="00000000" w:rsidRPr="00000000" w14:paraId="000000A8">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017845" cy="1204368"/>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017845" cy="120436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740586" cy="1005432"/>
            <wp:effectExtent b="0" l="0" r="0" t="0"/>
            <wp:docPr id="49" name="image43.png"/>
            <a:graphic>
              <a:graphicData uri="http://schemas.openxmlformats.org/drawingml/2006/picture">
                <pic:pic>
                  <pic:nvPicPr>
                    <pic:cNvPr id="0" name="image43.png"/>
                    <pic:cNvPicPr preferRelativeResize="0"/>
                  </pic:nvPicPr>
                  <pic:blipFill>
                    <a:blip r:embed="rId26"/>
                    <a:srcRect b="0" l="480" r="480" t="0"/>
                    <a:stretch>
                      <a:fillRect/>
                    </a:stretch>
                  </pic:blipFill>
                  <pic:spPr>
                    <a:xfrm>
                      <a:off x="0" y="0"/>
                      <a:ext cx="1740586" cy="10054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571500</wp:posOffset>
                </wp:positionV>
                <wp:extent cx="1190625" cy="638175"/>
                <wp:effectExtent b="0" l="0" r="0" t="0"/>
                <wp:wrapNone/>
                <wp:docPr id="2" name=""/>
                <a:graphic>
                  <a:graphicData uri="http://schemas.microsoft.com/office/word/2010/wordprocessingShape">
                    <wps:wsp>
                      <wps:cNvSpPr/>
                      <wps:cNvPr id="3" name="Shape 3"/>
                      <wps:spPr>
                        <a:xfrm>
                          <a:off x="1086150" y="913600"/>
                          <a:ext cx="2355000" cy="1685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571500</wp:posOffset>
                </wp:positionV>
                <wp:extent cx="1190625" cy="638175"/>
                <wp:effectExtent b="0" l="0" r="0" t="0"/>
                <wp:wrapNone/>
                <wp:docPr id="2"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1190625" cy="6381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228600</wp:posOffset>
                </wp:positionV>
                <wp:extent cx="1481138" cy="981075"/>
                <wp:effectExtent b="0" l="0" r="0" t="0"/>
                <wp:wrapNone/>
                <wp:docPr id="4" name=""/>
                <a:graphic>
                  <a:graphicData uri="http://schemas.microsoft.com/office/word/2010/wordprocessingShape">
                    <wps:wsp>
                      <wps:cNvSpPr/>
                      <wps:cNvPr id="5" name="Shape 5"/>
                      <wps:spPr>
                        <a:xfrm>
                          <a:off x="456800" y="710575"/>
                          <a:ext cx="2558100" cy="1857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228600</wp:posOffset>
                </wp:positionV>
                <wp:extent cx="1481138" cy="981075"/>
                <wp:effectExtent b="0" l="0" r="0" t="0"/>
                <wp:wrapNone/>
                <wp:docPr id="4"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1481138" cy="981075"/>
                        </a:xfrm>
                        <a:prstGeom prst="rect"/>
                        <a:ln/>
                      </pic:spPr>
                    </pic:pic>
                  </a:graphicData>
                </a:graphic>
              </wp:anchor>
            </w:drawing>
          </mc:Fallback>
        </mc:AlternateContent>
      </w:r>
    </w:p>
    <w:p w:rsidR="00000000" w:rsidDel="00000000" w:rsidP="00000000" w:rsidRDefault="00000000" w:rsidRPr="00000000" w14:paraId="000000A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 </w:t>
      </w:r>
      <w:r w:rsidDel="00000000" w:rsidR="00000000" w:rsidRPr="00000000">
        <w:rPr>
          <w:rFonts w:ascii="Times New Roman" w:cs="Times New Roman" w:eastAsia="Times New Roman" w:hAnsi="Times New Roman"/>
          <w:rtl w:val="0"/>
        </w:rPr>
        <w:t xml:space="preserve">Total Generator Profit by Scenario.</w:t>
      </w:r>
    </w:p>
    <w:p w:rsidR="00000000" w:rsidDel="00000000" w:rsidP="00000000" w:rsidRDefault="00000000" w:rsidRPr="00000000" w14:paraId="000000A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Comparison Summary:</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Scenario 2 (RGGI Carbon Allowance): </w:t>
      </w:r>
      <w:r w:rsidDel="00000000" w:rsidR="00000000" w:rsidRPr="00000000">
        <w:rPr>
          <w:rFonts w:ascii="Times New Roman" w:cs="Times New Roman" w:eastAsia="Times New Roman" w:hAnsi="Times New Roman"/>
          <w:rtl w:val="0"/>
        </w:rPr>
        <w:t xml:space="preserve">For days 1 the system works like other scenarios and the cost is comparable. In days 2-3 the amount of load shedding begins to rise, but once the wind went down (days 4-7) the load shedding is thousands of MW of generation in many hours, as we aren’t able to fulfill the demand with the available generators without violating the daily carbon cap constraints, given the lack of wind generation. </w:t>
      </w:r>
    </w:p>
    <w:p w:rsidR="00000000" w:rsidDel="00000000" w:rsidP="00000000" w:rsidRDefault="00000000" w:rsidRPr="00000000" w14:paraId="000000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a 7-day optimization window, capping each state’s emissions by day may have created a system with unreasonably stringent constraints. In reality ISOs have a much longer time horizon over which to minimize carbon emissions generation, and this might allow them more flexibility given that they have 365 days over which to vary each state’s output. </w:t>
      </w:r>
    </w:p>
    <w:p w:rsidR="00000000" w:rsidDel="00000000" w:rsidP="00000000" w:rsidRDefault="00000000" w:rsidRPr="00000000" w14:paraId="000000AD">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understand that there are seasonal/temporal variations in demand and renewable generation that would be factored into our system. The lack of these, combined with the short time horizon and daily optimization method, makes our implementation potentially too strict.  </w:t>
      </w:r>
      <w:r w:rsidDel="00000000" w:rsidR="00000000" w:rsidRPr="00000000">
        <w:rPr>
          <w:rtl w:val="0"/>
        </w:rPr>
      </w:r>
    </w:p>
    <w:p w:rsidR="00000000" w:rsidDel="00000000" w:rsidP="00000000" w:rsidRDefault="00000000" w:rsidRPr="00000000" w14:paraId="000000AE">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 3 (PTC): </w:t>
      </w:r>
      <w:r w:rsidDel="00000000" w:rsidR="00000000" w:rsidRPr="00000000">
        <w:rPr>
          <w:rFonts w:ascii="Times New Roman" w:cs="Times New Roman" w:eastAsia="Times New Roman" w:hAnsi="Times New Roman"/>
          <w:sz w:val="24"/>
          <w:szCs w:val="24"/>
          <w:rtl w:val="0"/>
        </w:rPr>
        <w:t xml:space="preserve">Since the curtailment was already extremely low, adding the PTC didn’t lead to integrating significantly higher amounts of wind. Therefore the impact of this policy is minimal given the existing conditions in the system. </w:t>
      </w:r>
      <w:r w:rsidDel="00000000" w:rsidR="00000000" w:rsidRPr="00000000">
        <w:rPr>
          <w:rtl w:val="0"/>
        </w:rPr>
      </w:r>
    </w:p>
    <w:p w:rsidR="00000000" w:rsidDel="00000000" w:rsidP="00000000" w:rsidRDefault="00000000" w:rsidRPr="00000000" w14:paraId="000000AF">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 4 (Carbon Tax): </w:t>
      </w:r>
      <w:r w:rsidDel="00000000" w:rsidR="00000000" w:rsidRPr="00000000">
        <w:rPr>
          <w:rFonts w:ascii="Times New Roman" w:cs="Times New Roman" w:eastAsia="Times New Roman" w:hAnsi="Times New Roman"/>
          <w:rtl w:val="0"/>
        </w:rPr>
        <w:t xml:space="preserve">Total generator cost went up, but because the marginal prices across the system were much higher as a result of adding costs associated with emissions, the generator revenue was also significantly higher. This added tax is designed to minimize the output of more inefficient generators, but because of the design of our system, that tax is shifted entirely onto consumers.</w:t>
      </w:r>
    </w:p>
    <w:p w:rsidR="00000000" w:rsidDel="00000000" w:rsidP="00000000" w:rsidRDefault="00000000" w:rsidRPr="00000000" w14:paraId="000000B0">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B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analysis, the following insights emerge:</w:t>
      </w:r>
    </w:p>
    <w:p w:rsidR="00000000" w:rsidDel="00000000" w:rsidP="00000000" w:rsidRDefault="00000000" w:rsidRPr="00000000" w14:paraId="000000B2">
      <w:pPr>
        <w:numPr>
          <w:ilvl w:val="0"/>
          <w:numId w:val="3"/>
        </w:numPr>
        <w:spacing w:after="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Production Tax Credit (PTC):</w:t>
      </w:r>
      <w:r w:rsidDel="00000000" w:rsidR="00000000" w:rsidRPr="00000000">
        <w:rPr>
          <w:rFonts w:ascii="Times New Roman" w:cs="Times New Roman" w:eastAsia="Times New Roman" w:hAnsi="Times New Roman"/>
          <w:rtl w:val="0"/>
        </w:rPr>
        <w:t xml:space="preserve"> Adding a PTC is the most effective way to lower average electricity prices. While it decreases generator profits, the overall system benefits through lower costs for consumers make it the most straightforward and immediate option to promote wind integration. At the same time, it doesn’t yield significantly different generation dispatch or emissions than the base case and an ITC may make more sense to promote wind development.</w:t>
      </w:r>
    </w:p>
    <w:p w:rsidR="00000000" w:rsidDel="00000000" w:rsidP="00000000" w:rsidRDefault="00000000" w:rsidRPr="00000000" w14:paraId="000000B3">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Cap-and-Trade:</w:t>
      </w:r>
      <w:r w:rsidDel="00000000" w:rsidR="00000000" w:rsidRPr="00000000">
        <w:rPr>
          <w:rFonts w:ascii="Times New Roman" w:cs="Times New Roman" w:eastAsia="Times New Roman" w:hAnsi="Times New Roman"/>
          <w:rtl w:val="0"/>
        </w:rPr>
        <w:t xml:space="preserve"> The daily emissions cap implemented in this analysis proved restrictive, particularly during periods of low wind generation, leading to significant load shedding and high prices. However, with a longer optimization window—such as an annual emissions budget—cap-and-trade could be more effective in balancing emissions reduction and reliability.</w:t>
      </w:r>
    </w:p>
    <w:p w:rsidR="00000000" w:rsidDel="00000000" w:rsidP="00000000" w:rsidRDefault="00000000" w:rsidRPr="00000000" w14:paraId="000000B4">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Carbon Tax:</w:t>
      </w:r>
      <w:r w:rsidDel="00000000" w:rsidR="00000000" w:rsidRPr="00000000">
        <w:rPr>
          <w:rFonts w:ascii="Times New Roman" w:cs="Times New Roman" w:eastAsia="Times New Roman" w:hAnsi="Times New Roman"/>
          <w:rtl w:val="0"/>
        </w:rPr>
        <w:t xml:space="preserve"> While a carbon tax encourages cleaner generation by penalizing high-emission sources, its current implementation results in higher electricity prices for consumers, as the tax burden is shifted entirely onto them. Addressing this issue to avoid significant price increases is essential for its viability.</w:t>
      </w:r>
    </w:p>
    <w:p w:rsidR="00000000" w:rsidDel="00000000" w:rsidP="00000000" w:rsidRDefault="00000000" w:rsidRPr="00000000" w14:paraId="000000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showed limited success in integrating more wind generation, because curtailment was low initially, and because wind availability dropped significantly in days 4–7. With consistently higher wind generation across the optimization period, these policies might have shown greater effectiveness in reducing costs and emissions while integrating more renewables.</w:t>
      </w:r>
    </w:p>
    <w:p w:rsidR="00000000" w:rsidDel="00000000" w:rsidP="00000000" w:rsidRDefault="00000000" w:rsidRPr="00000000" w14:paraId="000000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PTC offers the most immediate benefits for consumers, while cap-and-trade could be transformative with a longer planning horizon. The carbon tax remains a promising tool if consumer cost impacts can be mitigated. Carbon emissions reductions appear achievable only at a very high cost.</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visualizations can be found in the Appendix </w:t>
      </w:r>
    </w:p>
    <w:p w:rsidR="00000000" w:rsidDel="00000000" w:rsidP="00000000" w:rsidRDefault="00000000" w:rsidRPr="00000000" w14:paraId="000000B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Heatmaps of Generator On/Off States:</w:t>
      </w:r>
    </w:p>
    <w:p w:rsidR="00000000" w:rsidDel="00000000" w:rsidP="00000000" w:rsidRDefault="00000000" w:rsidRPr="00000000" w14:paraId="000000B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Total Generation vs Demand:</w:t>
      </w:r>
    </w:p>
    <w:p w:rsidR="00000000" w:rsidDel="00000000" w:rsidP="00000000" w:rsidRDefault="00000000" w:rsidRPr="00000000" w14:paraId="000000B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Total Wind Capacity &amp; Wind Generation (curtailment)</w:t>
      </w:r>
    </w:p>
    <w:p w:rsidR="00000000" w:rsidDel="00000000" w:rsidP="00000000" w:rsidRDefault="00000000" w:rsidRPr="00000000" w14:paraId="000000B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Checking Curtailment Logic With Extra High Wind Scenario (30GW)</w:t>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Heatmaps of Generator On/Off States - Scenario 1 Simple Unit Commitment:</w:t>
      </w:r>
    </w:p>
    <w:p w:rsidR="00000000" w:rsidDel="00000000" w:rsidP="00000000" w:rsidRDefault="00000000" w:rsidRPr="00000000" w14:paraId="000000C0">
      <w:pP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46438" cy="2338146"/>
            <wp:effectExtent b="0" l="0" r="0" t="0"/>
            <wp:docPr id="1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846438" cy="2338146"/>
                    </a:xfrm>
                    <a:prstGeom prst="rect"/>
                    <a:ln/>
                  </pic:spPr>
                </pic:pic>
              </a:graphicData>
            </a:graphic>
          </wp:inline>
        </w:drawing>
      </w:r>
      <w:r w:rsidDel="00000000" w:rsidR="00000000" w:rsidRPr="00000000">
        <w:rPr/>
        <w:drawing>
          <wp:inline distB="114300" distT="114300" distL="114300" distR="114300">
            <wp:extent cx="2863215" cy="2338446"/>
            <wp:effectExtent b="0" l="0" r="0" t="0"/>
            <wp:docPr id="39"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2863215" cy="233844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2863215" cy="2357942"/>
            <wp:effectExtent b="0" l="0" r="0" t="0"/>
            <wp:docPr id="1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863215" cy="235794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67359" cy="2357393"/>
            <wp:effectExtent b="0" l="0" r="0" t="0"/>
            <wp:docPr id="1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867359" cy="235739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Total Generation vs Demand - Scenario 1 Simple Unit Commitment:</w:t>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56124" cy="1584562"/>
            <wp:effectExtent b="0" l="0" r="0" t="0"/>
            <wp:docPr id="2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856124" cy="158456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81413" cy="1659653"/>
            <wp:effectExtent b="0" l="0" r="0" t="0"/>
            <wp:docPr id="43"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2981413" cy="165965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93695" cy="1616211"/>
            <wp:effectExtent b="0" l="0" r="0" t="0"/>
            <wp:docPr id="2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893695" cy="161621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72581" cy="1651434"/>
            <wp:effectExtent b="0" l="0" r="0" t="0"/>
            <wp:docPr id="1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972581" cy="165143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Total Wind Capacity &amp; Wind Generation - Scenario 1 Simple Unit Commitment:</w:t>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 Curtailment in 2GW, 6GW Case, Little Bit of Curtailment in 12 GW Case</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419" cy="1597190"/>
            <wp:effectExtent b="0" l="0" r="0" t="0"/>
            <wp:docPr id="2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900419" cy="159719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64923" cy="1589570"/>
            <wp:effectExtent b="0" l="0" r="0" t="0"/>
            <wp:docPr id="3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864923" cy="158957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3677" cy="1561196"/>
            <wp:effectExtent b="0" l="0" r="0" t="0"/>
            <wp:docPr id="3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833677" cy="156119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Checking Curtailment Logic With Extra High Wind Scenario (30GW) -  Scenario 1 Simple Unit Commitment: : It works!</w:t>
      </w:r>
    </w:p>
    <w:p w:rsidR="00000000" w:rsidDel="00000000" w:rsidP="00000000" w:rsidRDefault="00000000" w:rsidRPr="00000000" w14:paraId="000000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3313" cy="3033793"/>
            <wp:effectExtent b="0" l="0" r="0" t="0"/>
            <wp:docPr id="45"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3693313" cy="303379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871896" cy="2144278"/>
            <wp:effectExtent b="0" l="0" r="0" t="0"/>
            <wp:docPr id="46"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3871896" cy="214427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05288" cy="2306125"/>
            <wp:effectExtent b="0" l="0" r="0" t="0"/>
            <wp:docPr id="25" name="image3.png"/>
            <a:graphic>
              <a:graphicData uri="http://schemas.openxmlformats.org/drawingml/2006/picture">
                <pic:pic>
                  <pic:nvPicPr>
                    <pic:cNvPr id="0" name="image3.png"/>
                    <pic:cNvPicPr preferRelativeResize="0"/>
                  </pic:nvPicPr>
                  <pic:blipFill>
                    <a:blip r:embed="rId40"/>
                    <a:srcRect b="0" l="0" r="0" t="2927"/>
                    <a:stretch>
                      <a:fillRect/>
                    </a:stretch>
                  </pic:blipFill>
                  <pic:spPr>
                    <a:xfrm>
                      <a:off x="0" y="0"/>
                      <a:ext cx="4205288" cy="23061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Heatmaps of Generator On/Off States - Carbon Allowance &amp; PTC Combined Scenario:</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0675" cy="2356389"/>
            <wp:effectExtent b="0" l="0" r="0" t="0"/>
            <wp:docPr id="21"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860675" cy="235638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22389" cy="2319096"/>
            <wp:effectExtent b="0" l="0" r="0" t="0"/>
            <wp:docPr id="51"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822389" cy="231909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0675" cy="2353987"/>
            <wp:effectExtent b="0" l="0" r="0" t="0"/>
            <wp:docPr id="1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2860675" cy="235398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64290" cy="2354777"/>
            <wp:effectExtent b="0" l="0" r="0" t="0"/>
            <wp:docPr id="30"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864290" cy="235477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Total Generation vs Demand - Scenario 3  Carbon Allowance &amp; PTC Scenario:</w:t>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4291" cy="1533575"/>
            <wp:effectExtent b="0" l="0" r="0" t="0"/>
            <wp:docPr id="3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744291" cy="15335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20861" cy="1466900"/>
            <wp:effectExtent b="0" l="0" r="0" t="0"/>
            <wp:docPr id="41"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2620861" cy="1466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12854" cy="1513402"/>
            <wp:effectExtent b="0" l="0" r="0" t="0"/>
            <wp:docPr id="2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712854" cy="151340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00377" cy="1505979"/>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700377" cy="150597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 Total Wind Capacity &amp; Wind Generation  - Scenario 3  Carbon Allowance &amp; PTC Scenario:</w:t>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71884" cy="1597025"/>
            <wp:effectExtent b="0" l="0" r="0" t="0"/>
            <wp:docPr id="4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871884" cy="15970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16225" cy="1568646"/>
            <wp:effectExtent b="0" l="0" r="0" t="0"/>
            <wp:docPr id="4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816225" cy="156864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71809" cy="1523634"/>
            <wp:effectExtent b="0" l="0" r="0" t="0"/>
            <wp:docPr id="47"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771809" cy="152363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30 GW Extra High wind  - Scenario 3: Carbon Allowance &amp; PTC Scenario:</w:t>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10351" cy="2885914"/>
            <wp:effectExtent b="0" l="0" r="0" t="0"/>
            <wp:docPr id="1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3510351" cy="288591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34078" cy="1854200"/>
            <wp:effectExtent b="0" l="0" r="0" t="0"/>
            <wp:docPr id="1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3334078" cy="1854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403569" cy="1921743"/>
            <wp:effectExtent b="0" l="0" r="0" t="0"/>
            <wp:docPr id="2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403569" cy="192174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 12 GW - Scenario 2: Cap and Trade - hourly demand, slack, wind generation &amp; g:</w:t>
      </w:r>
    </w:p>
    <w:p w:rsidR="00000000" w:rsidDel="00000000" w:rsidP="00000000" w:rsidRDefault="00000000" w:rsidRPr="00000000" w14:paraId="000000FB">
      <w:pPr>
        <w:rPr>
          <w:rFonts w:ascii="Times New Roman" w:cs="Times New Roman" w:eastAsia="Times New Roman" w:hAnsi="Times New Roman"/>
          <w:b w:val="1"/>
          <w:sz w:val="24"/>
          <w:szCs w:val="24"/>
        </w:rPr>
      </w:pPr>
      <w:hyperlink r:id="rId50">
        <w:r w:rsidDel="00000000" w:rsidR="00000000" w:rsidRPr="00000000">
          <w:rPr>
            <w:rFonts w:ascii="Times New Roman" w:cs="Times New Roman" w:eastAsia="Times New Roman" w:hAnsi="Times New Roman"/>
            <w:b w:val="1"/>
            <w:color w:val="0000ee"/>
            <w:sz w:val="24"/>
            <w:szCs w:val="24"/>
            <w:u w:val="single"/>
            <w:rtl w:val="0"/>
          </w:rPr>
          <w:t xml:space="preserve">Scenario 2 Daily Demand &amp; Gen</w:t>
        </w:r>
      </w:hyperlink>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Compiled Daily Optimization Costs Spreadsheet:</w:t>
      </w:r>
    </w:p>
    <w:p w:rsidR="00000000" w:rsidDel="00000000" w:rsidP="00000000" w:rsidRDefault="00000000" w:rsidRPr="00000000" w14:paraId="000000FE">
      <w:pPr>
        <w:rPr>
          <w:rFonts w:ascii="Times New Roman" w:cs="Times New Roman" w:eastAsia="Times New Roman" w:hAnsi="Times New Roman"/>
          <w:b w:val="1"/>
          <w:sz w:val="24"/>
          <w:szCs w:val="24"/>
        </w:rPr>
      </w:pPr>
      <w:hyperlink r:id="rId51">
        <w:r w:rsidDel="00000000" w:rsidR="00000000" w:rsidRPr="00000000">
          <w:rPr>
            <w:rFonts w:ascii="Times New Roman" w:cs="Times New Roman" w:eastAsia="Times New Roman" w:hAnsi="Times New Roman"/>
            <w:b w:val="1"/>
            <w:color w:val="0000ee"/>
            <w:sz w:val="24"/>
            <w:szCs w:val="24"/>
            <w:u w:val="single"/>
            <w:rtl w:val="0"/>
          </w:rPr>
          <w:t xml:space="preserve">Final Results Summary</w:t>
        </w:r>
      </w:hyperlink>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Final data files directory:</w:t>
      </w:r>
    </w:p>
    <w:p w:rsidR="00000000" w:rsidDel="00000000" w:rsidP="00000000" w:rsidRDefault="00000000" w:rsidRPr="00000000" w14:paraId="00000101">
      <w:pPr>
        <w:rPr>
          <w:rFonts w:ascii="Times New Roman" w:cs="Times New Roman" w:eastAsia="Times New Roman" w:hAnsi="Times New Roman"/>
          <w:b w:val="1"/>
          <w:sz w:val="24"/>
          <w:szCs w:val="24"/>
        </w:rPr>
      </w:pPr>
      <w:hyperlink r:id="rId52">
        <w:r w:rsidDel="00000000" w:rsidR="00000000" w:rsidRPr="00000000">
          <w:rPr>
            <w:rFonts w:ascii="Times New Roman" w:cs="Times New Roman" w:eastAsia="Times New Roman" w:hAnsi="Times New Roman"/>
            <w:b w:val="1"/>
            <w:color w:val="0000ee"/>
            <w:sz w:val="24"/>
            <w:szCs w:val="24"/>
            <w:u w:val="single"/>
            <w:rtl w:val="0"/>
          </w:rPr>
          <w:t xml:space="preserve">Marginal_Cost_Outputs</w:t>
        </w:r>
      </w:hyperlink>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 Additional data used for constraints </w:t>
      </w:r>
    </w:p>
    <w:p w:rsidR="00000000" w:rsidDel="00000000" w:rsidP="00000000" w:rsidRDefault="00000000" w:rsidRPr="00000000" w14:paraId="00000104">
      <w:pPr>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CO2 Allowances</w:t>
        </w:r>
      </w:hyperlink>
      <w:r w:rsidDel="00000000" w:rsidR="00000000" w:rsidRPr="00000000">
        <w:rPr>
          <w:rFonts w:ascii="Times New Roman" w:cs="Times New Roman" w:eastAsia="Times New Roman" w:hAnsi="Times New Roman"/>
          <w:sz w:val="24"/>
          <w:szCs w:val="24"/>
          <w:rtl w:val="0"/>
        </w:rPr>
        <w:t xml:space="preserve"> (2023)</w:t>
      </w:r>
    </w:p>
    <w:p w:rsidR="00000000" w:rsidDel="00000000" w:rsidP="00000000" w:rsidRDefault="00000000" w:rsidRPr="00000000" w14:paraId="00000105">
      <w:pPr>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1155cc"/>
            <w:sz w:val="24"/>
            <w:szCs w:val="24"/>
            <w:u w:val="single"/>
            <w:rtl w:val="0"/>
          </w:rPr>
          <w:t xml:space="preserve">Fuel Heating Values</w:t>
        </w:r>
      </w:hyperlink>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Fuel Type Mapping</w:t>
        </w:r>
      </w:hyperlink>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Emissions by fuel type</w:t>
        </w:r>
      </w:hyperlink>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Hourly Emissions Formula and Findings</w:t>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Formula: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m:t>
            </m:r>
          </m:sub>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rtl w:val="0"/>
        </w:rPr>
        <w:t xml:space="preserve"> * </w:t>
      </w:r>
      <m:oMath>
        <m:r>
          <w:rPr>
            <w:rFonts w:ascii="Times New Roman" w:cs="Times New Roman" w:eastAsia="Times New Roman" w:hAnsi="Times New Roman"/>
          </w:rPr>
          <m:t xml:space="preserve">(CO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2</m:t>
            </m:r>
          </m:e>
          <m:sub>
            <m:r>
              <w:rPr>
                <w:rFonts w:ascii="Times New Roman" w:cs="Times New Roman" w:eastAsia="Times New Roman" w:hAnsi="Times New Roman"/>
              </w:rPr>
              <m:t xml:space="preserve">short  tons i</m:t>
            </m:r>
          </m:sub>
        </m:sSub>
        <m:r>
          <w:rPr>
            <w:rFonts w:ascii="Times New Roman" w:cs="Times New Roman" w:eastAsia="Times New Roman" w:hAnsi="Times New Roman"/>
          </w:rPr>
          <m:t xml:space="preserve">/MWh)</m:t>
        </m:r>
      </m:oMath>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63333" cy="2812078"/>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63333" cy="281207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Base and PTC scenarios show nearly identical CO2 Emissions, while the Carbon Tax scenario and more so the Carbon Allowance scenario demonstrate greater emissions reductions.</w:t>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Ramping</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Generator ramping is seen increasing for higher wind capacities (2GW &lt; 6 GW &lt; 12GW), and generator ramping is seen smaller for the Carbon Allowance and Carbon Tax scenarios than for the Base and PTC scenarios.</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Pr>
        <w:drawing>
          <wp:inline distB="19050" distT="19050" distL="19050" distR="19050">
            <wp:extent cx="3052763" cy="1590158"/>
            <wp:effectExtent b="0" l="0" r="0" t="0"/>
            <wp:docPr id="32"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3052763" cy="159015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19363" cy="1596888"/>
            <wp:effectExtent b="0" l="0" r="0" t="0"/>
            <wp:docPr id="37"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2519363" cy="15968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sectPr>
      <w:headerReference r:id="rId59" w:type="default"/>
      <w:footerReference r:id="rId6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guerite Genereux" w:id="0" w:date="2024-12-09T17:24:44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Cover page (topic &amp; Teammates)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 &lt;5 pages @ 11pt font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Attach presentation PDF, code and any other data in final submission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Grading:</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30%</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Formulation 20%: Project Introduction as mathematical optimization problem, focus on carbon tax/renewable incentives etc.</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Format 10% - include comments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analysis 40%: include plots etc, focus on added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What you need to know a Federal Carbon tax in the United States</w:t>
        </w:r>
      </w:hyperlink>
      <w:r w:rsidDel="00000000" w:rsidR="00000000" w:rsidRPr="00000000">
        <w:rPr>
          <w:sz w:val="20"/>
          <w:szCs w:val="20"/>
          <w:rtl w:val="0"/>
        </w:rPr>
        <w:t xml:space="preserve">, 2019</w:t>
      </w:r>
      <w:r w:rsidDel="00000000" w:rsidR="00000000" w:rsidRPr="00000000">
        <w:rPr>
          <w:rtl w:val="0"/>
        </w:rPr>
      </w:r>
    </w:p>
  </w:footnote>
  <w:footnote w:id="0">
    <w:p w:rsidR="00000000" w:rsidDel="00000000" w:rsidP="00000000" w:rsidRDefault="00000000" w:rsidRPr="00000000" w14:paraId="000001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EIA showed that “All Other Fuels” (includes nuclear) emitted 0.43 short tons of CO</w:t>
      </w:r>
      <w:r w:rsidDel="00000000" w:rsidR="00000000" w:rsidRPr="00000000">
        <w:rPr>
          <w:sz w:val="20"/>
          <w:szCs w:val="20"/>
          <w:vertAlign w:val="subscript"/>
          <w:rtl w:val="0"/>
        </w:rPr>
        <w:t xml:space="preserve">2</w:t>
      </w:r>
      <w:r w:rsidDel="00000000" w:rsidR="00000000" w:rsidRPr="00000000">
        <w:rPr>
          <w:sz w:val="20"/>
          <w:szCs w:val="20"/>
          <w:rtl w:val="0"/>
        </w:rPr>
        <w:t xml:space="preserve">/MWh, but we adjusted this to near 0 to better reflect the emissions of nuclear plants, since no other fuel types are used.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8.png"/><Relationship Id="rId41" Type="http://schemas.openxmlformats.org/officeDocument/2006/relationships/image" Target="media/image32.png"/><Relationship Id="rId44" Type="http://schemas.openxmlformats.org/officeDocument/2006/relationships/image" Target="media/image33.png"/><Relationship Id="rId43" Type="http://schemas.openxmlformats.org/officeDocument/2006/relationships/image" Target="media/image22.png"/><Relationship Id="rId46" Type="http://schemas.openxmlformats.org/officeDocument/2006/relationships/image" Target="media/image10.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image" Target="media/image20.png"/><Relationship Id="rId47" Type="http://schemas.openxmlformats.org/officeDocument/2006/relationships/image" Target="media/image45.png"/><Relationship Id="rId49" Type="http://schemas.openxmlformats.org/officeDocument/2006/relationships/image" Target="media/image9.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www.rggi.org/sites/default/files/Uploads/Fact%20Sheets/RGGI_101_Factsheet.pdf" TargetMode="External"/><Relationship Id="rId31" Type="http://schemas.openxmlformats.org/officeDocument/2006/relationships/image" Target="media/image8.png"/><Relationship Id="rId30" Type="http://schemas.openxmlformats.org/officeDocument/2006/relationships/image" Target="media/image31.png"/><Relationship Id="rId33" Type="http://schemas.openxmlformats.org/officeDocument/2006/relationships/image" Target="media/image6.png"/><Relationship Id="rId32" Type="http://schemas.openxmlformats.org/officeDocument/2006/relationships/image" Target="media/image38.png"/><Relationship Id="rId35" Type="http://schemas.openxmlformats.org/officeDocument/2006/relationships/image" Target="media/image15.png"/><Relationship Id="rId34" Type="http://schemas.openxmlformats.org/officeDocument/2006/relationships/image" Target="media/image11.png"/><Relationship Id="rId37" Type="http://schemas.openxmlformats.org/officeDocument/2006/relationships/image" Target="media/image26.png"/><Relationship Id="rId36" Type="http://schemas.openxmlformats.org/officeDocument/2006/relationships/image" Target="media/image19.png"/><Relationship Id="rId39" Type="http://schemas.openxmlformats.org/officeDocument/2006/relationships/image" Target="media/image44.png"/><Relationship Id="rId38" Type="http://schemas.openxmlformats.org/officeDocument/2006/relationships/image" Target="media/image46.png"/><Relationship Id="rId20" Type="http://schemas.openxmlformats.org/officeDocument/2006/relationships/image" Target="media/image34.png"/><Relationship Id="rId22" Type="http://schemas.openxmlformats.org/officeDocument/2006/relationships/image" Target="media/image41.png"/><Relationship Id="rId21" Type="http://schemas.openxmlformats.org/officeDocument/2006/relationships/image" Target="media/image21.png"/><Relationship Id="rId24" Type="http://schemas.openxmlformats.org/officeDocument/2006/relationships/image" Target="media/image4.png"/><Relationship Id="rId23" Type="http://schemas.openxmlformats.org/officeDocument/2006/relationships/image" Target="media/image29.png"/><Relationship Id="rId60" Type="http://schemas.openxmlformats.org/officeDocument/2006/relationships/footer" Target="footer1.xml"/><Relationship Id="rId26" Type="http://schemas.openxmlformats.org/officeDocument/2006/relationships/image" Target="media/image43.png"/><Relationship Id="rId25" Type="http://schemas.openxmlformats.org/officeDocument/2006/relationships/image" Target="media/image7.png"/><Relationship Id="rId28" Type="http://schemas.openxmlformats.org/officeDocument/2006/relationships/image" Target="media/image30.png"/><Relationship Id="rId27" Type="http://schemas.openxmlformats.org/officeDocument/2006/relationships/image" Target="media/image25.png"/><Relationship Id="rId29" Type="http://schemas.openxmlformats.org/officeDocument/2006/relationships/image" Target="media/image47.png"/><Relationship Id="rId51" Type="http://schemas.openxmlformats.org/officeDocument/2006/relationships/hyperlink" Target="https://docs.google.com/spreadsheets/d/1h1WDF_MgopJjefG1KEueo38IPve2qZLndozniGxZDW0/edit?usp=sharing" TargetMode="External"/><Relationship Id="rId50" Type="http://schemas.openxmlformats.org/officeDocument/2006/relationships/hyperlink" Target="https://docs.google.com/spreadsheets/d/1yR4HZ-abGrTDctXEdeGeb-hI-r1Qqih_UqppVr7QN_4/edit?usp=sharing" TargetMode="External"/><Relationship Id="rId53" Type="http://schemas.openxmlformats.org/officeDocument/2006/relationships/hyperlink" Target="https://drive.google.com/file/d/1c6vHS4XJ57A1b9JFoT5kKbhuNHUmh3Lf/view?usp=drive_link" TargetMode="External"/><Relationship Id="rId52" Type="http://schemas.openxmlformats.org/officeDocument/2006/relationships/hyperlink" Target="https://drive.google.com/drive/folders/1Jo3RqPeJ0HOnJrapxTuDrGaUnMIF4obz?usp=sharing" TargetMode="External"/><Relationship Id="rId11" Type="http://schemas.openxmlformats.org/officeDocument/2006/relationships/image" Target="media/image23.png"/><Relationship Id="rId55" Type="http://schemas.openxmlformats.org/officeDocument/2006/relationships/hyperlink" Target="https://drive.google.com/file/d/1p4guZwUsm45bdFm_YT48UksKRrs4lkec/view?usp=drive_link" TargetMode="External"/><Relationship Id="rId10" Type="http://schemas.openxmlformats.org/officeDocument/2006/relationships/image" Target="media/image14.png"/><Relationship Id="rId54" Type="http://schemas.openxmlformats.org/officeDocument/2006/relationships/hyperlink" Target="https://drive.google.com/file/d/1FF99hQLHg9_d3_Z2igKT76NuuPcSX15N/view?usp=drive_link" TargetMode="External"/><Relationship Id="rId13" Type="http://schemas.openxmlformats.org/officeDocument/2006/relationships/image" Target="media/image24.png"/><Relationship Id="rId57" Type="http://schemas.openxmlformats.org/officeDocument/2006/relationships/image" Target="media/image18.png"/><Relationship Id="rId12" Type="http://schemas.openxmlformats.org/officeDocument/2006/relationships/image" Target="media/image40.png"/><Relationship Id="rId56" Type="http://schemas.openxmlformats.org/officeDocument/2006/relationships/hyperlink" Target="https://drive.google.com/file/d/1dDKdPLJzGUwoFCS7iGwxcSR6fC3SW0lv/view?usp=drive_link" TargetMode="External"/><Relationship Id="rId15" Type="http://schemas.openxmlformats.org/officeDocument/2006/relationships/image" Target="media/image36.png"/><Relationship Id="rId59" Type="http://schemas.openxmlformats.org/officeDocument/2006/relationships/header" Target="header1.xml"/><Relationship Id="rId14" Type="http://schemas.openxmlformats.org/officeDocument/2006/relationships/image" Target="media/image27.png"/><Relationship Id="rId58" Type="http://schemas.openxmlformats.org/officeDocument/2006/relationships/image" Target="media/image13.png"/><Relationship Id="rId17" Type="http://schemas.openxmlformats.org/officeDocument/2006/relationships/image" Target="media/image35.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nergypolicy.columbia.edu/publications/what-you-need-to-know-about-a-federal-carbon-tax-in-the-united-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