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0560" w14:textId="77777777" w:rsidR="00134DC3" w:rsidRDefault="00000000">
      <w:pPr>
        <w:spacing w:after="60"/>
      </w:pPr>
      <w:r>
        <w:rPr>
          <w:b/>
          <w:bCs/>
          <w:sz w:val="32"/>
          <w:szCs w:val="32"/>
        </w:rPr>
        <w:t>Predicting Preterm Birth Risk from U.S. Birth Certificate Data: A Machine Learning Approach with an Explicit Actionability Correction</w:t>
      </w:r>
    </w:p>
    <w:p w14:paraId="3788F464" w14:textId="77777777" w:rsidR="00134DC3" w:rsidRDefault="00000000">
      <w:pPr>
        <w:spacing w:after="40" w:line="300" w:lineRule="auto"/>
      </w:pPr>
      <w:r>
        <w:t>Abiola Olayinka</w:t>
      </w:r>
    </w:p>
    <w:p w14:paraId="1C1462DE" w14:textId="77777777" w:rsidR="00134DC3" w:rsidRDefault="00000000">
      <w:pPr>
        <w:spacing w:after="40" w:line="300" w:lineRule="auto"/>
      </w:pPr>
      <w:r>
        <w:rPr>
          <w:i/>
          <w:iCs/>
          <w:sz w:val="20"/>
          <w:szCs w:val="20"/>
        </w:rPr>
        <w:t>Independent Researcher</w:t>
      </w:r>
    </w:p>
    <w:p w14:paraId="55219D83" w14:textId="77777777" w:rsidR="00134DC3" w:rsidRDefault="00000000">
      <w:pPr>
        <w:spacing w:after="360" w:line="300" w:lineRule="auto"/>
      </w:pPr>
      <w:r>
        <w:rPr>
          <w:sz w:val="20"/>
          <w:szCs w:val="20"/>
        </w:rPr>
        <w:t>Corresponding author: abiola.olayimika@gmail.com</w:t>
      </w:r>
    </w:p>
    <w:p w14:paraId="05A493A5" w14:textId="77777777" w:rsidR="00134DC3" w:rsidRDefault="00000000">
      <w:pPr>
        <w:pStyle w:val="Heading1"/>
        <w:spacing w:before="360" w:after="160"/>
      </w:pPr>
      <w:r>
        <w:rPr>
          <w:b/>
          <w:bCs/>
          <w:color w:val="1F3864"/>
          <w:sz w:val="28"/>
          <w:szCs w:val="28"/>
        </w:rPr>
        <w:t>Abstract</w:t>
      </w:r>
    </w:p>
    <w:p w14:paraId="15C0C762" w14:textId="77777777" w:rsidR="00134DC3" w:rsidRDefault="00000000" w:rsidP="00CD406F">
      <w:pPr>
        <w:spacing w:after="200" w:line="300" w:lineRule="auto"/>
        <w:jc w:val="both"/>
      </w:pPr>
      <w:r>
        <w:t>Background: Preterm birth (delivery before 37 completed weeks of gestation) affects roughly one in nine U.S. births and was the outcome behind a fourth consecutive “D+” grade on the March of Dimes 2025 national report card, at a national rate of 10.4–10.7%. Administrative birth-certificate data are the only nationally complete source available for population-scale early-warning models, but prior work in this area has not consistently examined whether headline predictive performance reflects genuinely antecedent risk factors or outcome-adjacent proxies recorded at the same time as birth.</w:t>
      </w:r>
    </w:p>
    <w:p w14:paraId="1FADB50C" w14:textId="77777777" w:rsidR="00134DC3" w:rsidRDefault="00000000" w:rsidP="00CD406F">
      <w:pPr>
        <w:spacing w:after="200" w:line="300" w:lineRule="auto"/>
        <w:jc w:val="both"/>
      </w:pPr>
      <w:r>
        <w:t>Methods: Using National Center for Health Statistics (NCHS) Natality public-use microdata for 2021–2024 (approximately 11 million births per training year), a gradient-boosted tree classifier (</w:t>
      </w:r>
      <w:proofErr w:type="spellStart"/>
      <w:r>
        <w:t>LightGBM</w:t>
      </w:r>
      <w:proofErr w:type="spellEnd"/>
      <w:r>
        <w:t>) was trained on 2021–2023 births and evaluated on the fully held-out 2024 birth year, following an 80/20 stratified fit/calibration split within the training years. Hyperparameters were tuned via randomized search with cross-validation, and class imbalance (10.4% positive rate) was addressed with cost-</w:t>
      </w:r>
      <w:proofErr w:type="gramStart"/>
      <w:r>
        <w:t>sensitive class</w:t>
      </w:r>
      <w:proofErr w:type="gramEnd"/>
      <w:r>
        <w:t xml:space="preserve"> weighting rather than synthetic oversampling. A systematic </w:t>
      </w:r>
      <w:proofErr w:type="gramStart"/>
      <w:r>
        <w:t>exploratory</w:t>
      </w:r>
      <w:proofErr w:type="gramEnd"/>
      <w:r>
        <w:t xml:space="preserve"> pass preceded modeling, screening for target-definition stability, missingness patterns (including missingness that is not at random), bivariate signal strength, and multicollinearity.</w:t>
      </w:r>
    </w:p>
    <w:p w14:paraId="66075AE8" w14:textId="77777777" w:rsidR="00134DC3" w:rsidRDefault="00000000" w:rsidP="00CD406F">
      <w:pPr>
        <w:spacing w:after="200" w:line="300" w:lineRule="auto"/>
        <w:jc w:val="both"/>
      </w:pPr>
      <w:r>
        <w:t>Results: A full-feature model reached AUC 0.826 on the 2024 test year, but feature-importance analysis identified that its single strongest predictor, total prenatal-visit count, is a whole-pregnancy total recorded at birth that is mechanically capped by how early a birth occurs — a reverse-causation confound rather than a genuine antecedent risk signal. Excluding this variable and re-tuning the model on the resulting feature set yielded a more defensible early-warning model (AUC 0.764, PR-AUC 0.379, minority-class F1 0.382, macro-F1 0.660), which passed a pre-registered, literature-grounded promotion gate. A subgroup analysis restricted to singleton pregnancies (96.9% of births) confirmed the model is not merely detecting multiple gestation (AUC 0.797). The model's raw predicted probabilities are not calibrated (Brier score 0.186, versus 0.093 for a model predicting the base rate for every birth; calibration intercept −2.13), a known consequence of the class-imbalance correction used during training, though relative risk ranking remains close to correct (calibration slope 1.13). Discrimination is reasonably stable across race/ethnicity and maternal age subgroups (AUC within about 0.03 of the aggregate in all groups), while the underlying preterm rate itself is unevenly distributed in a pattern consistent with documented national disparities.</w:t>
      </w:r>
    </w:p>
    <w:p w14:paraId="43377669" w14:textId="77777777" w:rsidR="00134DC3" w:rsidRDefault="00000000" w:rsidP="00CD406F">
      <w:pPr>
        <w:spacing w:after="260" w:line="300" w:lineRule="auto"/>
        <w:jc w:val="both"/>
      </w:pPr>
      <w:r>
        <w:lastRenderedPageBreak/>
        <w:t>Conclusions: A corrected, actionability-focused model built from public birth-certificate data alone achieves performance close to the closest comparable published benchmark (AUC 0.756) on a more defensible basis, while a naive full-feature model would have overstated real-world early-warning value. The prenatal-visit-count confound identified here is a structural limitation of retrospective, single-timepoint birth-certificate data rather than a modeling oversight, and is plausibly present, unaddressed, in other published birth-certificate-based prediction models that include this variable without examining it.</w:t>
      </w:r>
    </w:p>
    <w:p w14:paraId="41C664D9" w14:textId="77777777" w:rsidR="00134DC3" w:rsidRDefault="00000000" w:rsidP="00CD406F">
      <w:pPr>
        <w:spacing w:after="300" w:line="300" w:lineRule="auto"/>
        <w:jc w:val="both"/>
      </w:pPr>
      <w:r>
        <w:rPr>
          <w:b/>
          <w:bCs/>
        </w:rPr>
        <w:t xml:space="preserve">Keywords: </w:t>
      </w:r>
      <w:r>
        <w:t xml:space="preserve">preterm birth; machine learning; </w:t>
      </w:r>
      <w:proofErr w:type="spellStart"/>
      <w:r>
        <w:t>LightGBM</w:t>
      </w:r>
      <w:proofErr w:type="spellEnd"/>
      <w:r>
        <w:t>; birth certificate data; risk prediction; reverse causation; class imbalance; NCHS natality data; model actionability</w:t>
      </w:r>
    </w:p>
    <w:p w14:paraId="7317B657" w14:textId="77777777" w:rsidR="00134DC3" w:rsidRDefault="00000000" w:rsidP="00CD406F">
      <w:pPr>
        <w:pStyle w:val="Heading1"/>
        <w:spacing w:before="360" w:after="160"/>
        <w:jc w:val="both"/>
      </w:pPr>
      <w:r>
        <w:rPr>
          <w:b/>
          <w:bCs/>
          <w:color w:val="1F3864"/>
          <w:sz w:val="28"/>
          <w:szCs w:val="28"/>
        </w:rPr>
        <w:t>1. Introduction</w:t>
      </w:r>
    </w:p>
    <w:p w14:paraId="6FBB1BD1" w14:textId="77777777" w:rsidR="00134DC3" w:rsidRDefault="00000000" w:rsidP="00CD406F">
      <w:pPr>
        <w:spacing w:after="200" w:line="300" w:lineRule="auto"/>
        <w:jc w:val="both"/>
      </w:pPr>
      <w:r>
        <w:t xml:space="preserve">Preterm birth — delivery before 37 completed weeks of gestation — remains the leading cause of infant mortality in the United States and a major driver of childhood morbidity and long-term health-system cost. The 2025 March of Dimes Report Card placed the national preterm birth rate at 10.4–10.7% using 2024 data, the third consecutive year at this level, with only eleven states meeting the Healthy People 2030 target of 9.4% and roughly half of all states receiving a grade of D or worse (March of Dimes, 2025). The average first-year medical cost of a preterm infant is approximately 3.8 times that of a term infant — $49,140 versus $13,024 in 2016 dollars — making preterm birth a substantial, quantifiable burden on families and payers alike (March of Dimes </w:t>
      </w:r>
      <w:proofErr w:type="spellStart"/>
      <w:r>
        <w:t>PeriStats</w:t>
      </w:r>
      <w:proofErr w:type="spellEnd"/>
      <w:r>
        <w:t>, 2016 data).</w:t>
      </w:r>
    </w:p>
    <w:p w14:paraId="782716A3" w14:textId="77777777" w:rsidR="00134DC3" w:rsidRDefault="00000000" w:rsidP="00CD406F">
      <w:pPr>
        <w:spacing w:after="200" w:line="300" w:lineRule="auto"/>
        <w:jc w:val="both"/>
      </w:pPr>
      <w:r>
        <w:t xml:space="preserve">Machine learning approaches to preterm birth prediction have used a range of data sources, from rich electronic health records and biomarker panels to purely administrative vital-records data. Performance varies accordingly. Studies drawing on detailed clinical and biophysical markers have reported AUCs approaching 0.85 or higher, but such data is not available at population scale and cannot support a nationally scalable, low-marginal-cost screening tool. At the other end of the spectrum, Weber et al. (2018) applied machine learning to purely administrative data to predict early spontaneous preterm birth among nulliparous women and found cross-validated AUCs of only 0.62–0.63 by race/ethnicity group (0.67 combined), concluding that “the resolution of administrative data was inadequate to precisely predict individual risk for early spontaneous preterm birth” — a conclusion specific to that narrower, harder outcome definition (early, spontaneous-onset preterm birth only) rather than to all-cause preterm birth broadly. The most directly comparable prior study to the present work — in data source, scale, and outcome definition — is </w:t>
      </w:r>
      <w:proofErr w:type="spellStart"/>
      <w:r>
        <w:t>Ebrahimvandi</w:t>
      </w:r>
      <w:proofErr w:type="spellEnd"/>
      <w:r>
        <w:t xml:space="preserve">, </w:t>
      </w:r>
      <w:proofErr w:type="spellStart"/>
      <w:r>
        <w:t>Hosseinichimeh</w:t>
      </w:r>
      <w:proofErr w:type="spellEnd"/>
      <w:r>
        <w:t>, and Kong (2022), who trained a gradient-boosting model on 3.6 million singleton U.S. birth records with 77 variables from NCHS data and reported AUC 0.756, with gestational/chronic hypertension, interpregnancy interval, prior preterm birth, parental education, and maternal BMI as the leading predictors.</w:t>
      </w:r>
    </w:p>
    <w:p w14:paraId="0E9C52D8" w14:textId="77777777" w:rsidR="00134DC3" w:rsidRDefault="00000000" w:rsidP="00CD406F">
      <w:pPr>
        <w:spacing w:after="200" w:line="300" w:lineRule="auto"/>
        <w:jc w:val="both"/>
      </w:pPr>
      <w:r>
        <w:t xml:space="preserve">This study makes six contributions beyond replicating that general approach on more recent data. First, it uses the full most recent four years of NCHS Natality public-use data (2021–2024) with a strict </w:t>
      </w:r>
      <w:r>
        <w:lastRenderedPageBreak/>
        <w:t>chronological external validation design: the model is trained only on 2021–2023 and evaluated on the completely held-out 2024 birth year, rather than a random split that can understate real-world drift. Second, it identifies and empirically quantifies a reverse-causation confound — total prenatal-visit count, a whole-pregnancy total that is mechanically capped by how early a birth occurs — that inflates apparent predictive performance without adding genuine early-warning value, and reports model performance both with and without this variable so that the comparison to prior literature is made on a fair basis. Third, it applies a subgroup validation restricted to singleton pregnancies to rule out the more obvious confound of multiple gestation, which is by far the single strongest bivariate predictor in this data (an artifact of biology, not of modeling choice, but one that can inflate an aggregate metric without those metrics disclosing this to a reader). Fourth, it applies a systematic, transparent missing-data audit — including a moderate-not-at-random pattern in which six variables are jointly unreported for an identical set of records — and a pre-registered, literature-grounded model promotion gate, rather than reporting only the single best run. Fifth, it assesses calibration directly — via a reliability diagram, Brier score, and logistic recalibration — rather than reporting discrimination metrics alone, since a well-discriminating model can still be poorly calibrated, which matters if a predicted probability is meant to be acted on rather than only used for ranking. Sixth, it reports model performance separately by race/ethnicity and maternal age group, directly engaging with documented racial disparities in preterm birth rather than only reporting aggregate metrics that could mask uneven performance across groups.</w:t>
      </w:r>
    </w:p>
    <w:p w14:paraId="1E22E40A" w14:textId="77777777" w:rsidR="00134DC3" w:rsidRDefault="00000000" w:rsidP="00CD406F">
      <w:pPr>
        <w:pStyle w:val="Heading1"/>
        <w:spacing w:before="360" w:after="160"/>
        <w:jc w:val="both"/>
      </w:pPr>
      <w:r>
        <w:rPr>
          <w:b/>
          <w:bCs/>
          <w:color w:val="1F3864"/>
          <w:sz w:val="28"/>
          <w:szCs w:val="28"/>
        </w:rPr>
        <w:t>2. Data and Methods</w:t>
      </w:r>
    </w:p>
    <w:p w14:paraId="3B93169F" w14:textId="77777777" w:rsidR="00134DC3" w:rsidRDefault="00000000" w:rsidP="00CD406F">
      <w:pPr>
        <w:pStyle w:val="Heading2"/>
        <w:spacing w:before="260" w:after="140"/>
        <w:jc w:val="both"/>
      </w:pPr>
      <w:r>
        <w:rPr>
          <w:b/>
          <w:bCs/>
          <w:color w:val="1F3864"/>
          <w:sz w:val="24"/>
          <w:szCs w:val="24"/>
        </w:rPr>
        <w:t>2.1 Data Source</w:t>
      </w:r>
    </w:p>
    <w:p w14:paraId="14D79414" w14:textId="77777777" w:rsidR="00134DC3" w:rsidRDefault="00000000" w:rsidP="00CD406F">
      <w:pPr>
        <w:spacing w:after="200" w:line="300" w:lineRule="auto"/>
        <w:jc w:val="both"/>
      </w:pPr>
      <w:r>
        <w:t>Data were drawn from the National Center for Health Statistics (NCHS) National Vital Statistics System Natality public-use microdata files for birth years 2021 through 2024, distributed by NCHS and mirrored by the National Bureau of Economic Research (NBER, “Vital Statistics Natality Birth Data”). Each record represents one live birth registered in the fifty states and the District of Columbia; U.S. territory files were excluded, as were pre-2005-equivalent geographic identifiers, which are suppressed in all years used here under NCHS data-release restrictions. Source: National Center for Health Statistics, Natality public-use data files, 2021–2024, as required by NCHS data-use terms.</w:t>
      </w:r>
    </w:p>
    <w:p w14:paraId="2D586D3A" w14:textId="77777777" w:rsidR="00134DC3" w:rsidRDefault="00000000" w:rsidP="00CD406F">
      <w:pPr>
        <w:spacing w:after="200" w:line="300" w:lineRule="auto"/>
        <w:jc w:val="both"/>
      </w:pPr>
      <w:r>
        <w:t>Each annual file contains between approximately 3.5 and 3.7 million records. The training set (2021–2023) comprised 10,951,038 births after cleaning; the held-out test year (2024) comprised 3,638,436 births.</w:t>
      </w:r>
    </w:p>
    <w:p w14:paraId="3463191F" w14:textId="77777777" w:rsidR="00134DC3" w:rsidRDefault="00000000" w:rsidP="00CD406F">
      <w:pPr>
        <w:pStyle w:val="Heading2"/>
        <w:spacing w:before="260" w:after="140"/>
        <w:jc w:val="both"/>
      </w:pPr>
      <w:r>
        <w:rPr>
          <w:b/>
          <w:bCs/>
          <w:color w:val="1F3864"/>
          <w:sz w:val="24"/>
          <w:szCs w:val="24"/>
        </w:rPr>
        <w:t>2.2 Outcome Definition</w:t>
      </w:r>
    </w:p>
    <w:p w14:paraId="58C785F0" w14:textId="77777777" w:rsidR="00134DC3" w:rsidRDefault="00000000" w:rsidP="00CD406F">
      <w:pPr>
        <w:spacing w:after="200" w:line="300" w:lineRule="auto"/>
        <w:jc w:val="both"/>
      </w:pPr>
      <w:r>
        <w:t xml:space="preserve">The primary outcome, </w:t>
      </w:r>
      <w:proofErr w:type="spellStart"/>
      <w:r>
        <w:t>preterm_oe</w:t>
      </w:r>
      <w:proofErr w:type="spellEnd"/>
      <w:r>
        <w:t xml:space="preserve">, was defined from the obstetric-estimate-based gestational-age fields (oegest_r3 / </w:t>
      </w:r>
      <w:proofErr w:type="spellStart"/>
      <w:r>
        <w:t>oegest_comb</w:t>
      </w:r>
      <w:proofErr w:type="spellEnd"/>
      <w:r>
        <w:t xml:space="preserve">) rather than the last-menstrual-period-based fields (gestrec3 / </w:t>
      </w:r>
      <w:proofErr w:type="spellStart"/>
      <w:r>
        <w:t>combgest</w:t>
      </w:r>
      <w:proofErr w:type="spellEnd"/>
      <w:r>
        <w:t xml:space="preserve">), following the empirical validation approach described in the project’s internal data documentation: the two definitions agree on more than 99% of records, and the obstetric-estimate definition is the field NCHS </w:t>
      </w:r>
      <w:r>
        <w:lastRenderedPageBreak/>
        <w:t>itself recommends as more reliable where both are available. All four source fields used to construct either candidate outcome were removed from the model’s feature matrix to prevent label leakage. The resulting positive (preterm) rate was stable across all four years studied: 10.48% (2021), 10.37% (2022), 10.39% (2023), and 10.39% (2024), with an overall rate of 10.41% — consistent with the concurrently published national estimate of 10.4–10.7% (March of Dimes, 2025) and supporting the use of 2024 as an unbiased external test year rather than one affected by a shift in the underlying rate.</w:t>
      </w:r>
    </w:p>
    <w:p w14:paraId="796A338E" w14:textId="77777777" w:rsidR="00134DC3" w:rsidRDefault="00000000" w:rsidP="00CD406F">
      <w:pPr>
        <w:pStyle w:val="Heading2"/>
        <w:spacing w:before="260" w:after="140"/>
        <w:jc w:val="both"/>
      </w:pPr>
      <w:r>
        <w:rPr>
          <w:b/>
          <w:bCs/>
          <w:color w:val="1F3864"/>
          <w:sz w:val="24"/>
          <w:szCs w:val="24"/>
        </w:rPr>
        <w:t>2.3 Exploratory Data Analysis</w:t>
      </w:r>
    </w:p>
    <w:p w14:paraId="7A48D9F3" w14:textId="77777777" w:rsidR="00134DC3" w:rsidRDefault="00000000" w:rsidP="00CD406F">
      <w:pPr>
        <w:spacing w:after="200" w:line="300" w:lineRule="auto"/>
        <w:jc w:val="both"/>
      </w:pPr>
      <w:r>
        <w:t>Before model development, an exploratory pass examined missingness, bivariate association with the outcome, and multicollinearity across all candidate predictors. Missingness rates matched previously documented levels for this data source (e.g., marital status 11.08%, weight gain 3.00%, body-mass index 2.44%, prenatal-care-start month 1.93%) with a small, one-directional upward drift into 2024 for several fields (body-mass index, maternal education, weight gain, height, and cigarette-count fields), a pattern examined further in the drift analysis below.</w:t>
      </w:r>
    </w:p>
    <w:p w14:paraId="57DE39C9" w14:textId="77777777" w:rsidR="00134DC3" w:rsidRDefault="00000000" w:rsidP="00CD406F">
      <w:pPr>
        <w:spacing w:after="200" w:line="300" w:lineRule="auto"/>
        <w:jc w:val="both"/>
      </w:pPr>
      <w:r>
        <w:t>A notable finding was that six fields — weight gain, body-mass index, prenatal-care-start month, maternal education, number of prenatal visits, and WIC participation — were not missing independently: 22,830 records in the training years shared an identical pattern of non-report across all six fields simultaneously, consistent with a single operational cause (for example, one section of an intake form left blank) rather than six unrelated causes. Non-report on any of these fields was consistently associated with a lower observed preterm rate, indicating that missingness in this data is informative and should not be treated as missing completely at random.</w:t>
      </w:r>
    </w:p>
    <w:p w14:paraId="035BAD43" w14:textId="77777777" w:rsidR="00134DC3" w:rsidRDefault="00000000" w:rsidP="00CD406F">
      <w:pPr>
        <w:spacing w:after="200" w:line="300" w:lineRule="auto"/>
        <w:jc w:val="both"/>
      </w:pPr>
      <w:r>
        <w:t>The strongest bivariate predictor by a wide margin was plurality: the preterm rate rose from approximately 7% for singleton pregnancies to 60–65% for twins and 95–100% for triplets and higher-order multiples — an expected clinical relationship, but one that risks disproportionately driving any aggregate performance metric computed across all pregnancies, motivating the singleton-only subgroup analysis reported in Section 3.3. Prior preterm birth was the strongest non-plurality predictor. Maternal body-mass-index category and age group both showed the expected clinical U-shaped relationship to preterm risk.</w:t>
      </w:r>
    </w:p>
    <w:p w14:paraId="6F12A3A0" w14:textId="77777777" w:rsidR="00134DC3" w:rsidRDefault="00000000" w:rsidP="00CD406F">
      <w:pPr>
        <w:pStyle w:val="Heading2"/>
        <w:spacing w:before="260" w:after="140"/>
        <w:jc w:val="both"/>
      </w:pPr>
      <w:r>
        <w:rPr>
          <w:b/>
          <w:bCs/>
          <w:color w:val="1F3864"/>
          <w:sz w:val="24"/>
          <w:szCs w:val="24"/>
        </w:rPr>
        <w:t>2.4 Feature Engineering and Leakage Control</w:t>
      </w:r>
    </w:p>
    <w:p w14:paraId="391C2B7C" w14:textId="77777777" w:rsidR="00134DC3" w:rsidRDefault="00000000" w:rsidP="00CD406F">
      <w:pPr>
        <w:spacing w:after="200" w:line="300" w:lineRule="auto"/>
        <w:jc w:val="both"/>
      </w:pPr>
      <w:r>
        <w:t xml:space="preserve">Engineered features included a combined cigarette-use total, an aggregate prior-pregnancy count, an any-reported-risk-factor flag, clinically standard body-mass-index and maternal-age categories, prenatal-care-timing flags, and an explicit interaction term between prior preterm birth and multiple gestation, motivated by the established clinical understanding that these two risk factors compound rather than act independently. All four fields that mechanically define either candidate outcome (gestrec3, </w:t>
      </w:r>
      <w:proofErr w:type="spellStart"/>
      <w:r>
        <w:t>combgest</w:t>
      </w:r>
      <w:proofErr w:type="spellEnd"/>
      <w:r>
        <w:t xml:space="preserve">, </w:t>
      </w:r>
      <w:proofErr w:type="spellStart"/>
      <w:r>
        <w:t>oegest_comb</w:t>
      </w:r>
      <w:proofErr w:type="spellEnd"/>
      <w:r>
        <w:t>, oegest_r3) were excluded from the feature matrix in every model reported here.</w:t>
      </w:r>
    </w:p>
    <w:p w14:paraId="08BCFF5A" w14:textId="77777777" w:rsidR="00134DC3" w:rsidRDefault="00000000" w:rsidP="00CD406F">
      <w:pPr>
        <w:pStyle w:val="Heading2"/>
        <w:spacing w:before="260" w:after="140"/>
        <w:jc w:val="both"/>
      </w:pPr>
      <w:r>
        <w:rPr>
          <w:b/>
          <w:bCs/>
          <w:color w:val="1F3864"/>
          <w:sz w:val="24"/>
          <w:szCs w:val="24"/>
        </w:rPr>
        <w:lastRenderedPageBreak/>
        <w:t>2.5 Model Training</w:t>
      </w:r>
    </w:p>
    <w:p w14:paraId="559CE83A" w14:textId="77777777" w:rsidR="00134DC3" w:rsidRDefault="00000000" w:rsidP="00CD406F">
      <w:pPr>
        <w:spacing w:after="200" w:line="300" w:lineRule="auto"/>
        <w:jc w:val="both"/>
      </w:pPr>
      <w:r>
        <w:t xml:space="preserve">Within the 2021–2023 training years, an 80/20 stratified split produced a fit set (8,760,830 records) used for model fitting and a calibration set (2,190,208 records) used for decision-threshold selection; the 2024 test year was not accessed for any purpose until final evaluation. A </w:t>
      </w:r>
      <w:proofErr w:type="spellStart"/>
      <w:r>
        <w:t>LightGBM</w:t>
      </w:r>
      <w:proofErr w:type="spellEnd"/>
      <w:r>
        <w:t xml:space="preserve"> gradient-boosted tree classifier was used for its native handling of categorical features and missing values at this data scale. Class imbalance (10.4% positive rate; </w:t>
      </w:r>
      <w:proofErr w:type="spellStart"/>
      <w:r>
        <w:t>scale_pos_weight</w:t>
      </w:r>
      <w:proofErr w:type="spellEnd"/>
      <w:r>
        <w:t xml:space="preserve"> ≈ 8.6) was addressed via cost-sensitive class weighting; an oversampling alternative (SMOTENC) was implemented but not used as the primary approach, consistent with evidence that cost-sensitive weighting is typically competitive with or superior to synthetic oversampling for gradient-boosted trees at this scale.</w:t>
      </w:r>
    </w:p>
    <w:p w14:paraId="7F85CC50" w14:textId="77777777" w:rsidR="00134DC3" w:rsidRDefault="00000000" w:rsidP="00CD406F">
      <w:pPr>
        <w:spacing w:after="200" w:line="300" w:lineRule="auto"/>
        <w:jc w:val="both"/>
      </w:pPr>
      <w:r>
        <w:t>Hyperparameters (number of leaves, estimator count, learning rate, subsampling ratios, minimum child samples, and L2 regularization) were tuned via randomized search (25 candidate configurations, 3-fold stratified cross-validation, scored by AUC, the area under the receiver operating characteristic curve) on a 500,000-row stratified subsample of the fit set, with the winning configuration refit on the full fit set. An empirical learning-curve analysis (100,000 to 8,760,830 rows) confirmed that performance gains from additional training data, while real, were modest beyond approximately one to three million rows (calibration AUC 0.818 at 100,000 rows rising to 0.825 at the full fit-set size), providing an evidence-based answer to whether training on the full dataset, rather than a representative subsample, was warranted.</w:t>
      </w:r>
    </w:p>
    <w:p w14:paraId="4AFC11B2" w14:textId="77777777" w:rsidR="00134DC3" w:rsidRDefault="00000000" w:rsidP="00CD406F">
      <w:pPr>
        <w:spacing w:after="200" w:line="300" w:lineRule="auto"/>
        <w:jc w:val="both"/>
      </w:pPr>
      <w:r>
        <w:t>The decision threshold was selected to maximize minority-class (preterm) F1 on the calibration set (0.712), with a full precision/recall/F1 sensitivity table computed across thresholds 0.10–0.90 to support alternative operating points; because this work is intended as methodological documentation rather than an operational deployment with a defined use case, no single threshold is presented as final.</w:t>
      </w:r>
    </w:p>
    <w:p w14:paraId="433FC496" w14:textId="77777777" w:rsidR="00134DC3" w:rsidRDefault="00000000" w:rsidP="00CD406F">
      <w:pPr>
        <w:pStyle w:val="Heading2"/>
        <w:spacing w:before="260" w:after="140"/>
        <w:jc w:val="both"/>
      </w:pPr>
      <w:r>
        <w:rPr>
          <w:b/>
          <w:bCs/>
          <w:color w:val="1F3864"/>
          <w:sz w:val="24"/>
          <w:szCs w:val="24"/>
        </w:rPr>
        <w:t>2.6 The Prenatal-Visit-Count Actionability Correction</w:t>
      </w:r>
    </w:p>
    <w:p w14:paraId="0065900E" w14:textId="77777777" w:rsidR="00134DC3" w:rsidRDefault="00000000" w:rsidP="00CD406F">
      <w:pPr>
        <w:spacing w:after="200" w:line="300" w:lineRule="auto"/>
        <w:jc w:val="both"/>
      </w:pPr>
      <w:r>
        <w:t>Feature-importance analysis of the initial, full-feature model identified total prenatal-visit count (</w:t>
      </w:r>
      <w:proofErr w:type="spellStart"/>
      <w:r>
        <w:t>previs</w:t>
      </w:r>
      <w:proofErr w:type="spellEnd"/>
      <w:r>
        <w:t xml:space="preserve">) as its single strongest predictor by both split-gain importance and mean absolute SHAP value. </w:t>
      </w:r>
      <w:proofErr w:type="gramStart"/>
      <w:r>
        <w:t>This variable records</w:t>
      </w:r>
      <w:proofErr w:type="gramEnd"/>
      <w:r>
        <w:t xml:space="preserve"> the total number of prenatal-care visits over the full course of a pregnancy, tabulated at the time of birth. Because a birth that occurs very early in gestation mechanically forecloses the opportunity to accumulate a typical visit count, this variable is partly a record of how the pregnancy ended rather than a measure of risk knowable in advance — a reverse-causation confound structurally analogous to, but substantially larger in effect than, a previously identified censoring issue in a derived late-prenatal-care-start flag.</w:t>
      </w:r>
    </w:p>
    <w:p w14:paraId="5354093B" w14:textId="77777777" w:rsidR="00134DC3" w:rsidRDefault="00000000" w:rsidP="00CD406F">
      <w:pPr>
        <w:spacing w:after="200" w:line="300" w:lineRule="auto"/>
        <w:jc w:val="both"/>
      </w:pPr>
      <w:r>
        <w:t xml:space="preserve">This is a limitation of the underlying data rather than a correctable feature-engineering choice: the standard clinical solution to a raw visit-count problem, an adequacy-of-prenatal-care index normalized against gestational age at delivery (the </w:t>
      </w:r>
      <w:proofErr w:type="spellStart"/>
      <w:r>
        <w:t>Kotelchuck</w:t>
      </w:r>
      <w:proofErr w:type="spellEnd"/>
      <w:r>
        <w:t xml:space="preserve">/APNCU index), itself requires knowing gestational age at delivery to compute — precisely the leakage-adjacent information already excluded from this model. No index of prenatal-care adequacy can be constructed from a single retrospective birth-certificate record </w:t>
      </w:r>
      <w:r>
        <w:lastRenderedPageBreak/>
        <w:t>without reintroducing the same problem it is meant to solve. Accordingly, this study reports results with the variable excluded (Sections 3.1–3.2) as the primary, actionability-focused model, alongside the full-feature model as an explicit upper-bound reference.</w:t>
      </w:r>
    </w:p>
    <w:p w14:paraId="59F2F35A" w14:textId="77777777" w:rsidR="00134DC3" w:rsidRDefault="00000000" w:rsidP="00CD406F">
      <w:pPr>
        <w:spacing w:after="200" w:line="300" w:lineRule="auto"/>
        <w:jc w:val="both"/>
      </w:pPr>
      <w:r>
        <w:t>Because the tuned hyperparameters used for the full-feature model were selected with this variable present, they are not necessarily optimal for the reduced feature set. The hyperparameter search described in Section 2.5 was therefore repeated in full on the prenatal-visit-count-excluded feature set, and the resulting re-tuned model is reported as the primary model throughout Section 3. Because both the reused-hyperparameter and re-tuned versions of this model were scored on the identical 2024 test set, the resulting AUC difference is a paired comparison; a paired bootstrap (500 resamples of the test set, with the same resampled rows applied to both models on each replicate) was used to construct a 95% confidence interval for that difference rather than relying on the point estimate alone (Section 3.1).</w:t>
      </w:r>
    </w:p>
    <w:p w14:paraId="586EA088" w14:textId="77777777" w:rsidR="00134DC3" w:rsidRDefault="00000000" w:rsidP="00CD406F">
      <w:pPr>
        <w:pStyle w:val="Heading2"/>
        <w:spacing w:before="260" w:after="140"/>
        <w:jc w:val="both"/>
      </w:pPr>
      <w:r>
        <w:rPr>
          <w:b/>
          <w:bCs/>
          <w:color w:val="1F3864"/>
          <w:sz w:val="24"/>
          <w:szCs w:val="24"/>
        </w:rPr>
        <w:t>2.7 Evaluation Framework</w:t>
      </w:r>
    </w:p>
    <w:p w14:paraId="27115D45" w14:textId="77777777" w:rsidR="00134DC3" w:rsidRDefault="00000000" w:rsidP="00CD406F">
      <w:pPr>
        <w:spacing w:after="200" w:line="300" w:lineRule="auto"/>
        <w:jc w:val="both"/>
      </w:pPr>
      <w:r>
        <w:t>Primary metrics were AUC, average precision (PR-AUC), minority-class (preterm) F1, and macro-averaged F1, computed on the fully held-out 2024 test year. A pre-registered model promotion gate required AUC ≥ 0.70, minority-class F1 ≥ 0.30, and macro-F1 ≥ 0.55, thresholds grounded in the closest comparable published result (</w:t>
      </w:r>
      <w:proofErr w:type="spellStart"/>
      <w:r>
        <w:t>Ebrahimvandi</w:t>
      </w:r>
      <w:proofErr w:type="spellEnd"/>
      <w:r>
        <w:t xml:space="preserve">, </w:t>
      </w:r>
      <w:proofErr w:type="spellStart"/>
      <w:r>
        <w:t>Hosseinichimeh</w:t>
      </w:r>
      <w:proofErr w:type="spellEnd"/>
      <w:r>
        <w:t>, &amp; Kong, 2022; AUC 0.756) rather than an arbitrary target. Population Stability Index (PSI) was used to detect distributional drift between the training years and 2024 for continuous predictors, extended with a direct comparison of missingness rates (rather than only the distribution of non-missing values) after the exploratory analysis identified missingness-rate drift as a real, if mild, pattern not otherwise captured by PSI.</w:t>
      </w:r>
    </w:p>
    <w:p w14:paraId="6033EE11" w14:textId="77777777" w:rsidR="00134DC3" w:rsidRDefault="00000000" w:rsidP="00CD406F">
      <w:pPr>
        <w:pStyle w:val="Heading2"/>
        <w:spacing w:before="260" w:after="140"/>
        <w:jc w:val="both"/>
      </w:pPr>
      <w:r>
        <w:rPr>
          <w:b/>
          <w:bCs/>
          <w:color w:val="1F3864"/>
          <w:sz w:val="24"/>
          <w:szCs w:val="24"/>
        </w:rPr>
        <w:t>2.8 Calibration Assessment</w:t>
      </w:r>
    </w:p>
    <w:p w14:paraId="4340DF63" w14:textId="77777777" w:rsidR="00134DC3" w:rsidRDefault="00000000" w:rsidP="00CD406F">
      <w:pPr>
        <w:spacing w:after="200" w:line="300" w:lineRule="auto"/>
        <w:jc w:val="both"/>
      </w:pPr>
      <w:r>
        <w:t>Discrimination metrics such as AUC establish whether the model ranks preterm births above term births but do not establish whether a predicted probability corresponds to an observed rate of that magnitude. Calibration was therefore assessed separately via three measures on the 2024 test year: the Brier score; a reliability diagram comparing mean predicted probability to observed preterm rate across ten equal-count bins; and calibration-in-the-large and calibration slope from a logistic recalibration model — a logistic regression of the observed outcome on the logit of the predicted probability, where an intercept of 0 and a slope of 1 indicate perfect calibration, a slope below 1 indicates overconfident predictions, and a slope above 1 indicates underconfident predictions.</w:t>
      </w:r>
    </w:p>
    <w:p w14:paraId="2AC6B14F" w14:textId="77777777" w:rsidR="00134DC3" w:rsidRDefault="00000000" w:rsidP="00CD406F">
      <w:pPr>
        <w:pStyle w:val="Heading2"/>
        <w:spacing w:before="260" w:after="140"/>
        <w:jc w:val="both"/>
      </w:pPr>
      <w:r>
        <w:rPr>
          <w:b/>
          <w:bCs/>
          <w:color w:val="1F3864"/>
          <w:sz w:val="24"/>
          <w:szCs w:val="24"/>
        </w:rPr>
        <w:t>2.9 Subgroup and Disparity Analysis</w:t>
      </w:r>
    </w:p>
    <w:p w14:paraId="238CDD19" w14:textId="77777777" w:rsidR="00134DC3" w:rsidRDefault="00000000" w:rsidP="00CD406F">
      <w:pPr>
        <w:spacing w:after="200" w:line="300" w:lineRule="auto"/>
        <w:jc w:val="both"/>
      </w:pPr>
      <w:r>
        <w:t xml:space="preserve">Because aggregate performance metrics can mask uneven model behavior across demographic subgroups, performance was also assessed separately by race/ethnicity and by maternal age group on the 2024 test year, using the same decision threshold </w:t>
      </w:r>
      <w:proofErr w:type="gramStart"/>
      <w:r>
        <w:t>applied throughout</w:t>
      </w:r>
      <w:proofErr w:type="gramEnd"/>
      <w:r>
        <w:t xml:space="preserve"> rather than a threshold selected per group. Race and Hispanic origin are recorded as separate items on the birth certificate; NCHS's own combined recode for this purpose, MRACEHISP, is derived from detailed single/multiple-race fields that </w:t>
      </w:r>
      <w:r>
        <w:lastRenderedPageBreak/>
        <w:t>were not extracted during this study's data-cleaning step. Equivalent categories were reconstructed instead from the race recode (MRACE31, retained as a model feature) and the Hispanic-origin recode (MHISP_R), following the category definitions documented in the NCHS User's Guide to the natality public-use file (National Center for Health Statistics, 2024): MRACE31 codes 1–5 are single-race categories and codes 6–31 are multiple-race combinations, collapsed here to a single "more than one race" category exactly as NCHS's own MRACE6 recode does, and any Hispanic-origin code takes precedence over race, matching MRACEHISP's own definitions. Subgroups smaller than 1,000 test-year records were excluded from reporting rather than presented on an unstably small sample. Rurality, approximated via state, could not be assessed: NCHS suppresses all geographic identifiers from public-use natality files for 2005 onward, so no rurality proxy is available in this data source at any level of aggregation.</w:t>
      </w:r>
    </w:p>
    <w:p w14:paraId="6E0AC0CD" w14:textId="77777777" w:rsidR="00134DC3" w:rsidRDefault="00000000" w:rsidP="00CD406F">
      <w:pPr>
        <w:pStyle w:val="Heading1"/>
        <w:spacing w:before="360" w:after="160"/>
        <w:jc w:val="both"/>
      </w:pPr>
      <w:r>
        <w:rPr>
          <w:b/>
          <w:bCs/>
          <w:color w:val="1F3864"/>
          <w:sz w:val="28"/>
          <w:szCs w:val="28"/>
        </w:rPr>
        <w:t>3. Results</w:t>
      </w:r>
    </w:p>
    <w:p w14:paraId="2D936592" w14:textId="77777777" w:rsidR="00134DC3" w:rsidRDefault="00000000" w:rsidP="00CD406F">
      <w:pPr>
        <w:pStyle w:val="Heading2"/>
        <w:spacing w:before="260" w:after="140"/>
        <w:jc w:val="both"/>
      </w:pPr>
      <w:r>
        <w:rPr>
          <w:b/>
          <w:bCs/>
          <w:color w:val="1F3864"/>
          <w:sz w:val="24"/>
          <w:szCs w:val="24"/>
        </w:rPr>
        <w:t>3.1 Model Performance and the Actionability Correction</w:t>
      </w:r>
    </w:p>
    <w:p w14:paraId="0AAC5780" w14:textId="77777777" w:rsidR="00134DC3" w:rsidRDefault="00000000" w:rsidP="00CD406F">
      <w:pPr>
        <w:spacing w:after="200" w:line="300" w:lineRule="auto"/>
        <w:jc w:val="both"/>
      </w:pPr>
      <w:r>
        <w:t>Table 1 summarizes performance on the 2024 held-out test year across the full-feature model, the prenatal-visit-count-excluded model using the full-feature model’s hyperparameters, and the prenatal-visit-count-excluded model with hyperparameters re-tuned on the reduced feature set (the primary model of this study).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1400"/>
        <w:gridCol w:w="1600"/>
        <w:gridCol w:w="1400"/>
      </w:tblGrid>
      <w:tr w:rsidR="00134DC3" w14:paraId="60293734" w14:textId="77777777">
        <w:tblPrEx>
          <w:tblCellMar>
            <w:top w:w="0" w:type="dxa"/>
            <w:bottom w:w="0" w:type="dxa"/>
          </w:tblCellMar>
        </w:tblPrEx>
        <w:trPr>
          <w:tblHeader/>
        </w:trPr>
        <w:tc>
          <w:tcPr>
            <w:tcW w:w="3600" w:type="dxa"/>
            <w:shd w:val="clear" w:color="auto" w:fill="D9D9D9"/>
            <w:tcMar>
              <w:top w:w="80" w:type="dxa"/>
              <w:left w:w="100" w:type="dxa"/>
              <w:bottom w:w="80" w:type="dxa"/>
              <w:right w:w="100" w:type="dxa"/>
            </w:tcMar>
          </w:tcPr>
          <w:p w14:paraId="10A58B97" w14:textId="77777777" w:rsidR="00134DC3" w:rsidRDefault="00000000">
            <w:pPr>
              <w:jc w:val="center"/>
            </w:pPr>
            <w:r>
              <w:rPr>
                <w:b/>
                <w:bCs/>
                <w:sz w:val="19"/>
                <w:szCs w:val="19"/>
              </w:rPr>
              <w:t>Model</w:t>
            </w:r>
          </w:p>
        </w:tc>
        <w:tc>
          <w:tcPr>
            <w:tcW w:w="1400" w:type="dxa"/>
            <w:shd w:val="clear" w:color="auto" w:fill="D9D9D9"/>
            <w:tcMar>
              <w:top w:w="80" w:type="dxa"/>
              <w:left w:w="100" w:type="dxa"/>
              <w:bottom w:w="80" w:type="dxa"/>
              <w:right w:w="100" w:type="dxa"/>
            </w:tcMar>
          </w:tcPr>
          <w:p w14:paraId="39E8DB46" w14:textId="77777777" w:rsidR="00134DC3" w:rsidRDefault="00000000">
            <w:pPr>
              <w:jc w:val="center"/>
            </w:pPr>
            <w:r>
              <w:rPr>
                <w:b/>
                <w:bCs/>
                <w:sz w:val="19"/>
                <w:szCs w:val="19"/>
              </w:rPr>
              <w:t>AUC</w:t>
            </w:r>
          </w:p>
        </w:tc>
        <w:tc>
          <w:tcPr>
            <w:tcW w:w="1400" w:type="dxa"/>
            <w:shd w:val="clear" w:color="auto" w:fill="D9D9D9"/>
            <w:tcMar>
              <w:top w:w="80" w:type="dxa"/>
              <w:left w:w="100" w:type="dxa"/>
              <w:bottom w:w="80" w:type="dxa"/>
              <w:right w:w="100" w:type="dxa"/>
            </w:tcMar>
          </w:tcPr>
          <w:p w14:paraId="3530E7D8" w14:textId="77777777" w:rsidR="00134DC3" w:rsidRDefault="00000000">
            <w:pPr>
              <w:jc w:val="center"/>
            </w:pPr>
            <w:r>
              <w:rPr>
                <w:b/>
                <w:bCs/>
                <w:sz w:val="19"/>
                <w:szCs w:val="19"/>
              </w:rPr>
              <w:t>PR-AUC</w:t>
            </w:r>
          </w:p>
        </w:tc>
        <w:tc>
          <w:tcPr>
            <w:tcW w:w="1600" w:type="dxa"/>
            <w:shd w:val="clear" w:color="auto" w:fill="D9D9D9"/>
            <w:tcMar>
              <w:top w:w="80" w:type="dxa"/>
              <w:left w:w="100" w:type="dxa"/>
              <w:bottom w:w="80" w:type="dxa"/>
              <w:right w:w="100" w:type="dxa"/>
            </w:tcMar>
          </w:tcPr>
          <w:p w14:paraId="303B1406" w14:textId="77777777" w:rsidR="00134DC3" w:rsidRDefault="00000000">
            <w:pPr>
              <w:jc w:val="center"/>
            </w:pPr>
            <w:r>
              <w:rPr>
                <w:b/>
                <w:bCs/>
                <w:sz w:val="19"/>
                <w:szCs w:val="19"/>
              </w:rPr>
              <w:t>Preterm F1</w:t>
            </w:r>
          </w:p>
        </w:tc>
        <w:tc>
          <w:tcPr>
            <w:tcW w:w="1400" w:type="dxa"/>
            <w:shd w:val="clear" w:color="auto" w:fill="D9D9D9"/>
            <w:tcMar>
              <w:top w:w="80" w:type="dxa"/>
              <w:left w:w="100" w:type="dxa"/>
              <w:bottom w:w="80" w:type="dxa"/>
              <w:right w:w="100" w:type="dxa"/>
            </w:tcMar>
          </w:tcPr>
          <w:p w14:paraId="657BF9C0" w14:textId="77777777" w:rsidR="00134DC3" w:rsidRDefault="00000000">
            <w:pPr>
              <w:jc w:val="center"/>
            </w:pPr>
            <w:r>
              <w:rPr>
                <w:b/>
                <w:bCs/>
                <w:sz w:val="19"/>
                <w:szCs w:val="19"/>
              </w:rPr>
              <w:t>Macro F1</w:t>
            </w:r>
          </w:p>
        </w:tc>
      </w:tr>
      <w:tr w:rsidR="00134DC3" w14:paraId="73035621" w14:textId="77777777">
        <w:tblPrEx>
          <w:tblCellMar>
            <w:top w:w="0" w:type="dxa"/>
            <w:bottom w:w="0" w:type="dxa"/>
          </w:tblCellMar>
        </w:tblPrEx>
        <w:tc>
          <w:tcPr>
            <w:tcW w:w="3600" w:type="dxa"/>
            <w:tcMar>
              <w:top w:w="80" w:type="dxa"/>
              <w:left w:w="100" w:type="dxa"/>
              <w:bottom w:w="80" w:type="dxa"/>
              <w:right w:w="100" w:type="dxa"/>
            </w:tcMar>
          </w:tcPr>
          <w:p w14:paraId="2837BAC8" w14:textId="77777777" w:rsidR="00134DC3" w:rsidRDefault="00000000">
            <w:r>
              <w:rPr>
                <w:sz w:val="19"/>
                <w:szCs w:val="19"/>
              </w:rPr>
              <w:t>Majority-class baseline</w:t>
            </w:r>
          </w:p>
        </w:tc>
        <w:tc>
          <w:tcPr>
            <w:tcW w:w="1400" w:type="dxa"/>
            <w:tcMar>
              <w:top w:w="80" w:type="dxa"/>
              <w:left w:w="100" w:type="dxa"/>
              <w:bottom w:w="80" w:type="dxa"/>
              <w:right w:w="100" w:type="dxa"/>
            </w:tcMar>
          </w:tcPr>
          <w:p w14:paraId="7D054BEA" w14:textId="77777777" w:rsidR="00134DC3" w:rsidRDefault="00000000">
            <w:pPr>
              <w:jc w:val="center"/>
            </w:pPr>
            <w:r>
              <w:rPr>
                <w:sz w:val="19"/>
                <w:szCs w:val="19"/>
              </w:rPr>
              <w:t>—</w:t>
            </w:r>
          </w:p>
        </w:tc>
        <w:tc>
          <w:tcPr>
            <w:tcW w:w="1400" w:type="dxa"/>
            <w:tcMar>
              <w:top w:w="80" w:type="dxa"/>
              <w:left w:w="100" w:type="dxa"/>
              <w:bottom w:w="80" w:type="dxa"/>
              <w:right w:w="100" w:type="dxa"/>
            </w:tcMar>
          </w:tcPr>
          <w:p w14:paraId="4F3E583A" w14:textId="77777777" w:rsidR="00134DC3" w:rsidRDefault="00000000">
            <w:pPr>
              <w:jc w:val="center"/>
            </w:pPr>
            <w:r>
              <w:rPr>
                <w:sz w:val="19"/>
                <w:szCs w:val="19"/>
              </w:rPr>
              <w:t>—</w:t>
            </w:r>
          </w:p>
        </w:tc>
        <w:tc>
          <w:tcPr>
            <w:tcW w:w="1600" w:type="dxa"/>
            <w:tcMar>
              <w:top w:w="80" w:type="dxa"/>
              <w:left w:w="100" w:type="dxa"/>
              <w:bottom w:w="80" w:type="dxa"/>
              <w:right w:w="100" w:type="dxa"/>
            </w:tcMar>
          </w:tcPr>
          <w:p w14:paraId="25CB8B9A" w14:textId="77777777" w:rsidR="00134DC3" w:rsidRDefault="00000000">
            <w:pPr>
              <w:jc w:val="center"/>
            </w:pPr>
            <w:r>
              <w:rPr>
                <w:sz w:val="19"/>
                <w:szCs w:val="19"/>
              </w:rPr>
              <w:t>0.000</w:t>
            </w:r>
          </w:p>
        </w:tc>
        <w:tc>
          <w:tcPr>
            <w:tcW w:w="1400" w:type="dxa"/>
            <w:tcMar>
              <w:top w:w="80" w:type="dxa"/>
              <w:left w:w="100" w:type="dxa"/>
              <w:bottom w:w="80" w:type="dxa"/>
              <w:right w:w="100" w:type="dxa"/>
            </w:tcMar>
          </w:tcPr>
          <w:p w14:paraId="0CB76751" w14:textId="77777777" w:rsidR="00134DC3" w:rsidRDefault="00000000">
            <w:pPr>
              <w:jc w:val="center"/>
            </w:pPr>
            <w:r>
              <w:rPr>
                <w:sz w:val="19"/>
                <w:szCs w:val="19"/>
              </w:rPr>
              <w:t>0.473</w:t>
            </w:r>
          </w:p>
        </w:tc>
      </w:tr>
      <w:tr w:rsidR="00134DC3" w14:paraId="2D95D182" w14:textId="77777777">
        <w:tblPrEx>
          <w:tblCellMar>
            <w:top w:w="0" w:type="dxa"/>
            <w:bottom w:w="0" w:type="dxa"/>
          </w:tblCellMar>
        </w:tblPrEx>
        <w:tc>
          <w:tcPr>
            <w:tcW w:w="3600" w:type="dxa"/>
            <w:tcMar>
              <w:top w:w="80" w:type="dxa"/>
              <w:left w:w="100" w:type="dxa"/>
              <w:bottom w:w="80" w:type="dxa"/>
              <w:right w:w="100" w:type="dxa"/>
            </w:tcMar>
          </w:tcPr>
          <w:p w14:paraId="620C29AC" w14:textId="77777777" w:rsidR="00134DC3" w:rsidRDefault="00000000">
            <w:r>
              <w:rPr>
                <w:sz w:val="19"/>
                <w:szCs w:val="19"/>
              </w:rPr>
              <w:t>Logistic regression baseline</w:t>
            </w:r>
          </w:p>
        </w:tc>
        <w:tc>
          <w:tcPr>
            <w:tcW w:w="1400" w:type="dxa"/>
            <w:tcMar>
              <w:top w:w="80" w:type="dxa"/>
              <w:left w:w="100" w:type="dxa"/>
              <w:bottom w:w="80" w:type="dxa"/>
              <w:right w:w="100" w:type="dxa"/>
            </w:tcMar>
          </w:tcPr>
          <w:p w14:paraId="07A784BA" w14:textId="77777777" w:rsidR="00134DC3" w:rsidRDefault="00000000">
            <w:pPr>
              <w:jc w:val="center"/>
            </w:pPr>
            <w:r>
              <w:rPr>
                <w:sz w:val="19"/>
                <w:szCs w:val="19"/>
              </w:rPr>
              <w:t>0.743</w:t>
            </w:r>
          </w:p>
        </w:tc>
        <w:tc>
          <w:tcPr>
            <w:tcW w:w="1400" w:type="dxa"/>
            <w:tcMar>
              <w:top w:w="80" w:type="dxa"/>
              <w:left w:w="100" w:type="dxa"/>
              <w:bottom w:w="80" w:type="dxa"/>
              <w:right w:w="100" w:type="dxa"/>
            </w:tcMar>
          </w:tcPr>
          <w:p w14:paraId="409B93DC" w14:textId="77777777" w:rsidR="00134DC3" w:rsidRDefault="00000000">
            <w:pPr>
              <w:jc w:val="center"/>
            </w:pPr>
            <w:r>
              <w:rPr>
                <w:sz w:val="19"/>
                <w:szCs w:val="19"/>
              </w:rPr>
              <w:t>0.267</w:t>
            </w:r>
          </w:p>
        </w:tc>
        <w:tc>
          <w:tcPr>
            <w:tcW w:w="1600" w:type="dxa"/>
            <w:tcMar>
              <w:top w:w="80" w:type="dxa"/>
              <w:left w:w="100" w:type="dxa"/>
              <w:bottom w:w="80" w:type="dxa"/>
              <w:right w:w="100" w:type="dxa"/>
            </w:tcMar>
          </w:tcPr>
          <w:p w14:paraId="2B8432EB" w14:textId="77777777" w:rsidR="00134DC3" w:rsidRDefault="00000000">
            <w:pPr>
              <w:jc w:val="center"/>
            </w:pPr>
            <w:r>
              <w:rPr>
                <w:sz w:val="19"/>
                <w:szCs w:val="19"/>
              </w:rPr>
              <w:t>0.321</w:t>
            </w:r>
          </w:p>
        </w:tc>
        <w:tc>
          <w:tcPr>
            <w:tcW w:w="1400" w:type="dxa"/>
            <w:tcMar>
              <w:top w:w="80" w:type="dxa"/>
              <w:left w:w="100" w:type="dxa"/>
              <w:bottom w:w="80" w:type="dxa"/>
              <w:right w:w="100" w:type="dxa"/>
            </w:tcMar>
          </w:tcPr>
          <w:p w14:paraId="09A22C9A" w14:textId="77777777" w:rsidR="00134DC3" w:rsidRDefault="00000000">
            <w:pPr>
              <w:jc w:val="center"/>
            </w:pPr>
            <w:r>
              <w:rPr>
                <w:sz w:val="19"/>
                <w:szCs w:val="19"/>
              </w:rPr>
              <w:t>0.569</w:t>
            </w:r>
          </w:p>
        </w:tc>
      </w:tr>
      <w:tr w:rsidR="00134DC3" w14:paraId="4893FAD5" w14:textId="77777777">
        <w:tblPrEx>
          <w:tblCellMar>
            <w:top w:w="0" w:type="dxa"/>
            <w:bottom w:w="0" w:type="dxa"/>
          </w:tblCellMar>
        </w:tblPrEx>
        <w:tc>
          <w:tcPr>
            <w:tcW w:w="3600" w:type="dxa"/>
            <w:tcMar>
              <w:top w:w="80" w:type="dxa"/>
              <w:left w:w="100" w:type="dxa"/>
              <w:bottom w:w="80" w:type="dxa"/>
              <w:right w:w="100" w:type="dxa"/>
            </w:tcMar>
          </w:tcPr>
          <w:p w14:paraId="67933F97" w14:textId="77777777" w:rsidR="00134DC3" w:rsidRDefault="00000000">
            <w:r>
              <w:rPr>
                <w:sz w:val="19"/>
                <w:szCs w:val="19"/>
              </w:rPr>
              <w:t xml:space="preserve">Full-feature </w:t>
            </w:r>
            <w:proofErr w:type="spellStart"/>
            <w:r>
              <w:rPr>
                <w:sz w:val="19"/>
                <w:szCs w:val="19"/>
              </w:rPr>
              <w:t>LightGBM</w:t>
            </w:r>
            <w:proofErr w:type="spellEnd"/>
          </w:p>
        </w:tc>
        <w:tc>
          <w:tcPr>
            <w:tcW w:w="1400" w:type="dxa"/>
            <w:tcMar>
              <w:top w:w="80" w:type="dxa"/>
              <w:left w:w="100" w:type="dxa"/>
              <w:bottom w:w="80" w:type="dxa"/>
              <w:right w:w="100" w:type="dxa"/>
            </w:tcMar>
          </w:tcPr>
          <w:p w14:paraId="16FB7C1E" w14:textId="77777777" w:rsidR="00134DC3" w:rsidRDefault="00000000">
            <w:pPr>
              <w:jc w:val="center"/>
            </w:pPr>
            <w:r>
              <w:rPr>
                <w:sz w:val="19"/>
                <w:szCs w:val="19"/>
              </w:rPr>
              <w:t>0.826</w:t>
            </w:r>
          </w:p>
        </w:tc>
        <w:tc>
          <w:tcPr>
            <w:tcW w:w="1400" w:type="dxa"/>
            <w:tcMar>
              <w:top w:w="80" w:type="dxa"/>
              <w:left w:w="100" w:type="dxa"/>
              <w:bottom w:w="80" w:type="dxa"/>
              <w:right w:w="100" w:type="dxa"/>
            </w:tcMar>
          </w:tcPr>
          <w:p w14:paraId="48D552D4" w14:textId="77777777" w:rsidR="00134DC3" w:rsidRDefault="00000000">
            <w:pPr>
              <w:jc w:val="center"/>
            </w:pPr>
            <w:r>
              <w:rPr>
                <w:sz w:val="19"/>
                <w:szCs w:val="19"/>
              </w:rPr>
              <w:t>0.455</w:t>
            </w:r>
          </w:p>
        </w:tc>
        <w:tc>
          <w:tcPr>
            <w:tcW w:w="1600" w:type="dxa"/>
            <w:tcMar>
              <w:top w:w="80" w:type="dxa"/>
              <w:left w:w="100" w:type="dxa"/>
              <w:bottom w:w="80" w:type="dxa"/>
              <w:right w:w="100" w:type="dxa"/>
            </w:tcMar>
          </w:tcPr>
          <w:p w14:paraId="3AD7773E" w14:textId="77777777" w:rsidR="00134DC3" w:rsidRDefault="00000000">
            <w:pPr>
              <w:jc w:val="center"/>
            </w:pPr>
            <w:r>
              <w:rPr>
                <w:sz w:val="19"/>
                <w:szCs w:val="19"/>
              </w:rPr>
              <w:t>0.453</w:t>
            </w:r>
          </w:p>
        </w:tc>
        <w:tc>
          <w:tcPr>
            <w:tcW w:w="1400" w:type="dxa"/>
            <w:tcMar>
              <w:top w:w="80" w:type="dxa"/>
              <w:left w:w="100" w:type="dxa"/>
              <w:bottom w:w="80" w:type="dxa"/>
              <w:right w:w="100" w:type="dxa"/>
            </w:tcMar>
          </w:tcPr>
          <w:p w14:paraId="77065266" w14:textId="77777777" w:rsidR="00134DC3" w:rsidRDefault="00000000">
            <w:pPr>
              <w:jc w:val="center"/>
            </w:pPr>
            <w:r>
              <w:rPr>
                <w:sz w:val="19"/>
                <w:szCs w:val="19"/>
              </w:rPr>
              <w:t>0.693</w:t>
            </w:r>
          </w:p>
        </w:tc>
      </w:tr>
      <w:tr w:rsidR="00134DC3" w14:paraId="37321A3F" w14:textId="77777777">
        <w:tblPrEx>
          <w:tblCellMar>
            <w:top w:w="0" w:type="dxa"/>
            <w:bottom w:w="0" w:type="dxa"/>
          </w:tblCellMar>
        </w:tblPrEx>
        <w:tc>
          <w:tcPr>
            <w:tcW w:w="3600" w:type="dxa"/>
            <w:tcMar>
              <w:top w:w="80" w:type="dxa"/>
              <w:left w:w="100" w:type="dxa"/>
              <w:bottom w:w="80" w:type="dxa"/>
              <w:right w:w="100" w:type="dxa"/>
            </w:tcMar>
          </w:tcPr>
          <w:p w14:paraId="700A86E2" w14:textId="77777777" w:rsidR="00134DC3" w:rsidRDefault="00000000">
            <w:r>
              <w:rPr>
                <w:sz w:val="19"/>
                <w:szCs w:val="19"/>
              </w:rPr>
              <w:t>Previs-excluded (reused hyperparameters)</w:t>
            </w:r>
          </w:p>
        </w:tc>
        <w:tc>
          <w:tcPr>
            <w:tcW w:w="1400" w:type="dxa"/>
            <w:tcMar>
              <w:top w:w="80" w:type="dxa"/>
              <w:left w:w="100" w:type="dxa"/>
              <w:bottom w:w="80" w:type="dxa"/>
              <w:right w:w="100" w:type="dxa"/>
            </w:tcMar>
          </w:tcPr>
          <w:p w14:paraId="5EE56D35" w14:textId="77777777" w:rsidR="00134DC3" w:rsidRDefault="00000000">
            <w:pPr>
              <w:jc w:val="center"/>
            </w:pPr>
            <w:r>
              <w:rPr>
                <w:sz w:val="19"/>
                <w:szCs w:val="19"/>
              </w:rPr>
              <w:t>0.765</w:t>
            </w:r>
          </w:p>
        </w:tc>
        <w:tc>
          <w:tcPr>
            <w:tcW w:w="1400" w:type="dxa"/>
            <w:tcMar>
              <w:top w:w="80" w:type="dxa"/>
              <w:left w:w="100" w:type="dxa"/>
              <w:bottom w:w="80" w:type="dxa"/>
              <w:right w:w="100" w:type="dxa"/>
            </w:tcMar>
          </w:tcPr>
          <w:p w14:paraId="229B73AE" w14:textId="77777777" w:rsidR="00134DC3" w:rsidRDefault="00000000">
            <w:pPr>
              <w:jc w:val="center"/>
            </w:pPr>
            <w:r>
              <w:rPr>
                <w:sz w:val="19"/>
                <w:szCs w:val="19"/>
              </w:rPr>
              <w:t>0.383</w:t>
            </w:r>
          </w:p>
        </w:tc>
        <w:tc>
          <w:tcPr>
            <w:tcW w:w="1600" w:type="dxa"/>
            <w:tcMar>
              <w:top w:w="80" w:type="dxa"/>
              <w:left w:w="100" w:type="dxa"/>
              <w:bottom w:w="80" w:type="dxa"/>
              <w:right w:w="100" w:type="dxa"/>
            </w:tcMar>
          </w:tcPr>
          <w:p w14:paraId="40B1A37E" w14:textId="77777777" w:rsidR="00134DC3" w:rsidRDefault="00000000">
            <w:pPr>
              <w:jc w:val="center"/>
            </w:pPr>
            <w:r>
              <w:rPr>
                <w:sz w:val="19"/>
                <w:szCs w:val="19"/>
              </w:rPr>
              <w:t>0.387</w:t>
            </w:r>
          </w:p>
        </w:tc>
        <w:tc>
          <w:tcPr>
            <w:tcW w:w="1400" w:type="dxa"/>
            <w:tcMar>
              <w:top w:w="80" w:type="dxa"/>
              <w:left w:w="100" w:type="dxa"/>
              <w:bottom w:w="80" w:type="dxa"/>
              <w:right w:w="100" w:type="dxa"/>
            </w:tcMar>
          </w:tcPr>
          <w:p w14:paraId="79D9E4F9" w14:textId="77777777" w:rsidR="00134DC3" w:rsidRDefault="00000000">
            <w:pPr>
              <w:jc w:val="center"/>
            </w:pPr>
            <w:r>
              <w:rPr>
                <w:sz w:val="19"/>
                <w:szCs w:val="19"/>
              </w:rPr>
              <w:t>0.662</w:t>
            </w:r>
          </w:p>
        </w:tc>
      </w:tr>
      <w:tr w:rsidR="00134DC3" w14:paraId="1F53E10B" w14:textId="77777777">
        <w:tblPrEx>
          <w:tblCellMar>
            <w:top w:w="0" w:type="dxa"/>
            <w:bottom w:w="0" w:type="dxa"/>
          </w:tblCellMar>
        </w:tblPrEx>
        <w:tc>
          <w:tcPr>
            <w:tcW w:w="3600" w:type="dxa"/>
            <w:tcMar>
              <w:top w:w="80" w:type="dxa"/>
              <w:left w:w="100" w:type="dxa"/>
              <w:bottom w:w="80" w:type="dxa"/>
              <w:right w:w="100" w:type="dxa"/>
            </w:tcMar>
          </w:tcPr>
          <w:p w14:paraId="1825AB0C" w14:textId="77777777" w:rsidR="00134DC3" w:rsidRDefault="00000000">
            <w:r>
              <w:rPr>
                <w:sz w:val="19"/>
                <w:szCs w:val="19"/>
              </w:rPr>
              <w:t>Previs-excluded, re-tuned (primary model)</w:t>
            </w:r>
          </w:p>
        </w:tc>
        <w:tc>
          <w:tcPr>
            <w:tcW w:w="1400" w:type="dxa"/>
            <w:tcMar>
              <w:top w:w="80" w:type="dxa"/>
              <w:left w:w="100" w:type="dxa"/>
              <w:bottom w:w="80" w:type="dxa"/>
              <w:right w:w="100" w:type="dxa"/>
            </w:tcMar>
          </w:tcPr>
          <w:p w14:paraId="781F9BC3" w14:textId="77777777" w:rsidR="00134DC3" w:rsidRDefault="00000000">
            <w:pPr>
              <w:jc w:val="center"/>
            </w:pPr>
            <w:r>
              <w:rPr>
                <w:sz w:val="19"/>
                <w:szCs w:val="19"/>
              </w:rPr>
              <w:t>0.764</w:t>
            </w:r>
          </w:p>
        </w:tc>
        <w:tc>
          <w:tcPr>
            <w:tcW w:w="1400" w:type="dxa"/>
            <w:tcMar>
              <w:top w:w="80" w:type="dxa"/>
              <w:left w:w="100" w:type="dxa"/>
              <w:bottom w:w="80" w:type="dxa"/>
              <w:right w:w="100" w:type="dxa"/>
            </w:tcMar>
          </w:tcPr>
          <w:p w14:paraId="6FA76EB7" w14:textId="77777777" w:rsidR="00134DC3" w:rsidRDefault="00000000">
            <w:pPr>
              <w:jc w:val="center"/>
            </w:pPr>
            <w:r>
              <w:rPr>
                <w:sz w:val="19"/>
                <w:szCs w:val="19"/>
              </w:rPr>
              <w:t>0.379</w:t>
            </w:r>
          </w:p>
        </w:tc>
        <w:tc>
          <w:tcPr>
            <w:tcW w:w="1600" w:type="dxa"/>
            <w:tcMar>
              <w:top w:w="80" w:type="dxa"/>
              <w:left w:w="100" w:type="dxa"/>
              <w:bottom w:w="80" w:type="dxa"/>
              <w:right w:w="100" w:type="dxa"/>
            </w:tcMar>
          </w:tcPr>
          <w:p w14:paraId="054F4B75" w14:textId="77777777" w:rsidR="00134DC3" w:rsidRDefault="00000000">
            <w:pPr>
              <w:jc w:val="center"/>
            </w:pPr>
            <w:r>
              <w:rPr>
                <w:sz w:val="19"/>
                <w:szCs w:val="19"/>
              </w:rPr>
              <w:t>0.382</w:t>
            </w:r>
          </w:p>
        </w:tc>
        <w:tc>
          <w:tcPr>
            <w:tcW w:w="1400" w:type="dxa"/>
            <w:tcMar>
              <w:top w:w="80" w:type="dxa"/>
              <w:left w:w="100" w:type="dxa"/>
              <w:bottom w:w="80" w:type="dxa"/>
              <w:right w:w="100" w:type="dxa"/>
            </w:tcMar>
          </w:tcPr>
          <w:p w14:paraId="4E0E8D69" w14:textId="77777777" w:rsidR="00134DC3" w:rsidRDefault="00000000">
            <w:pPr>
              <w:jc w:val="center"/>
            </w:pPr>
            <w:r>
              <w:rPr>
                <w:sz w:val="19"/>
                <w:szCs w:val="19"/>
              </w:rPr>
              <w:t>0.660</w:t>
            </w:r>
          </w:p>
        </w:tc>
      </w:tr>
    </w:tbl>
    <w:p w14:paraId="6FED2C0C" w14:textId="77777777" w:rsidR="00134DC3" w:rsidRDefault="00000000" w:rsidP="00CD406F">
      <w:pPr>
        <w:spacing w:before="80" w:after="240"/>
        <w:jc w:val="both"/>
      </w:pPr>
      <w:r>
        <w:rPr>
          <w:i/>
          <w:iCs/>
          <w:sz w:val="19"/>
          <w:szCs w:val="19"/>
        </w:rPr>
        <w:t>Table 1. Model performance on the 2024 held-out test year (n = 3,638,436).</w:t>
      </w:r>
    </w:p>
    <w:p w14:paraId="78BFCC61" w14:textId="77777777" w:rsidR="00134DC3" w:rsidRDefault="00000000" w:rsidP="00CD406F">
      <w:pPr>
        <w:spacing w:after="200" w:line="300" w:lineRule="auto"/>
        <w:jc w:val="both"/>
      </w:pPr>
      <w:r>
        <w:t xml:space="preserve">Excluding total prenatal-visit count reduced AUC by 0.061 (0.826 to 0.765), indicating that roughly this much of the full-feature model’s apparent performance was attributable to the reverse-causation confound described in Section 2.6 rather than to genuine antecedent risk signal. Re-tuning hyperparameters specifically for the reduced feature set changed performance by −0.001 AUC relative to reusing the full-feature model’s hyperparameters. A paired bootstrap on the identical test set (500 resamples, described in Section 2.6) put a 95% confidence interval of [−0.0010, −0.0009] on this difference — entirely below zero, indicating the difference is statistically distinguishable from sampling noise at this sample size, though its magnitude is well below any threshold that would affect the promotion decision, the operating threshold, or the clinical interpretation of the model. The direction runs opposite to what re-tuning was intended to achieve: the re-tuned model very slightly underperforms the reused-hyperparameter version on this metric rather than exceeding it. The re-tuned model is nonetheless </w:t>
      </w:r>
      <w:r>
        <w:lastRenderedPageBreak/>
        <w:t>reported as primary, because it uses hyperparameters tuned for the feature set actually deployed rather than hyperparameters selected under a different feature set and merely assumed to transfer.</w:t>
      </w:r>
    </w:p>
    <w:p w14:paraId="7110A789" w14:textId="77777777" w:rsidR="00134DC3" w:rsidRDefault="00000000" w:rsidP="00CD406F">
      <w:pPr>
        <w:spacing w:after="200" w:line="300" w:lineRule="auto"/>
        <w:jc w:val="both"/>
      </w:pPr>
      <w:r>
        <w:t xml:space="preserve">By full-feature-model gain-based importance, the leading predictors were plurality (27.4% of total gain), prenatal-visit count (26.9%), any-reported-risk-factor flag (9.4%), prenatal-care-start month (9.3%), and gestational weight gain (4.8%). By </w:t>
      </w:r>
      <w:proofErr w:type="gramStart"/>
      <w:r>
        <w:t>mean</w:t>
      </w:r>
      <w:proofErr w:type="gramEnd"/>
      <w:r>
        <w:t xml:space="preserve"> absolute SHAP value, prenatal-visit count ranked first, ahead of prenatal-care-start month, weight gain, the risk-factor flag, and plurality. With prenatal-visit count set aside, the remaining leading predictors — prenatal-care timing, weight gain, prior risk factors, plurality, prior live births, gestational hypertension, maternal education, and prior preterm birth — correspond closely to the top predictors independently reported by </w:t>
      </w:r>
      <w:proofErr w:type="spellStart"/>
      <w:r>
        <w:t>Ebrahimvandi</w:t>
      </w:r>
      <w:proofErr w:type="spellEnd"/>
      <w:r>
        <w:t xml:space="preserve">, </w:t>
      </w:r>
      <w:proofErr w:type="spellStart"/>
      <w:r>
        <w:t>Hosseinichimeh</w:t>
      </w:r>
      <w:proofErr w:type="spellEnd"/>
      <w:r>
        <w:t>, and Kong (2022): gestational/chronic hypertension, interpregnancy interval, prior preterm birth, parental education, and body-mass index.</w:t>
      </w:r>
    </w:p>
    <w:p w14:paraId="26F82E2E" w14:textId="77777777" w:rsidR="00134DC3" w:rsidRDefault="00000000" w:rsidP="00CD406F">
      <w:pPr>
        <w:pStyle w:val="Heading2"/>
        <w:spacing w:before="260" w:after="140"/>
        <w:jc w:val="both"/>
      </w:pPr>
      <w:r>
        <w:rPr>
          <w:b/>
          <w:bCs/>
          <w:color w:val="1F3864"/>
          <w:sz w:val="24"/>
          <w:szCs w:val="24"/>
        </w:rPr>
        <w:t>3.2 Model Promotion</w:t>
      </w:r>
    </w:p>
    <w:p w14:paraId="1A10547C" w14:textId="77777777" w:rsidR="00134DC3" w:rsidRDefault="00000000" w:rsidP="00CD406F">
      <w:pPr>
        <w:spacing w:after="200" w:line="300" w:lineRule="auto"/>
        <w:jc w:val="both"/>
      </w:pPr>
      <w:r>
        <w:t xml:space="preserve">The </w:t>
      </w:r>
      <w:proofErr w:type="spellStart"/>
      <w:r>
        <w:t>previs</w:t>
      </w:r>
      <w:proofErr w:type="spellEnd"/>
      <w:r>
        <w:t>-excluded, re-tuned model met all three pre-registered promotion criteria (AUC 0.764 ≥ 0.70; preterm F1 0.382 ≥ 0.30; macro-F1 0.660 ≥ 0.55) and was promoted as the primary model of this study. The full-feature model was retained separately as a labeled upper-bound reference rather than being discarded, since it remains informative about the ceiling of predictive performance achievable when outcome-adjacent information is not excluded.</w:t>
      </w:r>
    </w:p>
    <w:p w14:paraId="7F85CE3E" w14:textId="77777777" w:rsidR="00134DC3" w:rsidRDefault="00000000" w:rsidP="00CD406F">
      <w:pPr>
        <w:pStyle w:val="Heading2"/>
        <w:spacing w:before="260" w:after="140"/>
        <w:jc w:val="both"/>
      </w:pPr>
      <w:r>
        <w:rPr>
          <w:b/>
          <w:bCs/>
          <w:color w:val="1F3864"/>
          <w:sz w:val="24"/>
          <w:szCs w:val="24"/>
        </w:rPr>
        <w:t>3.3 Singleton Subgroup Validation</w:t>
      </w:r>
    </w:p>
    <w:p w14:paraId="4B461F60" w14:textId="77777777" w:rsidR="00134DC3" w:rsidRDefault="00000000" w:rsidP="00CD406F">
      <w:pPr>
        <w:spacing w:after="200" w:line="300" w:lineRule="auto"/>
        <w:jc w:val="both"/>
      </w:pPr>
      <w:r>
        <w:t>Because plurality is by far the strongest bivariate predictor in this data (Section 2.3), an aggregate performance metric computed across all pregnancies could substantially overstate performance on the far more common, and clinically harder, singleton case. Restricting the full-feature model’s 2024 evaluation to singleton pregnancies (96.9% of the test year, n = 3,526,370) yielded AUC 0.797 and preterm F1 0.361, above the closest comparable published benchmark for all-cause singleton preterm birth (0.756) by a wider margin than the main comparison in Section 3.1. As with that comparison, the two figures come from different studies and samples and cannot be tested against each other directly, so this is presented as confirming that the model retains real discriminative value on the population for whom an early-warning signal is most actionable, rather than as a formally tested improvement over the published benchmark.</w:t>
      </w:r>
    </w:p>
    <w:p w14:paraId="5C2E93A5" w14:textId="77777777" w:rsidR="00134DC3" w:rsidRDefault="00000000" w:rsidP="00CD406F">
      <w:pPr>
        <w:pStyle w:val="Heading2"/>
        <w:spacing w:before="260" w:after="140"/>
        <w:jc w:val="both"/>
      </w:pPr>
      <w:r>
        <w:rPr>
          <w:b/>
          <w:bCs/>
          <w:color w:val="1F3864"/>
          <w:sz w:val="24"/>
          <w:szCs w:val="24"/>
        </w:rPr>
        <w:t>3.4 Decile Risk Stratification</w:t>
      </w:r>
    </w:p>
    <w:p w14:paraId="01E2FEC1" w14:textId="77777777" w:rsidR="00134DC3" w:rsidRDefault="00000000" w:rsidP="00CD406F">
      <w:pPr>
        <w:spacing w:after="200" w:line="300" w:lineRule="auto"/>
        <w:jc w:val="both"/>
      </w:pPr>
      <w:r>
        <w:t xml:space="preserve">Ranking the 2024 test year by predicted risk decile (full-feature model), the top three deciles of predicted risk (30% of births) captured 74.2% of all actual preterm births, and the top decile alone (10% of births, mean predicted probability 0.85) captured 44.3% of all preterm births at an observed rate of 46.0% — a more than fourfold enrichment over the 10.4% base rate. This concentration of risk supports the model’s potential utility for </w:t>
      </w:r>
      <w:proofErr w:type="gramStart"/>
      <w:r>
        <w:t>tiered</w:t>
      </w:r>
      <w:proofErr w:type="gramEnd"/>
      <w:r>
        <w:t>, resource-sensitive screening approaches, subject to the limitations discussed in Section 5.</w:t>
      </w:r>
    </w:p>
    <w:p w14:paraId="7C53F578" w14:textId="77777777" w:rsidR="00134DC3" w:rsidRDefault="00000000" w:rsidP="00CD406F">
      <w:pPr>
        <w:pStyle w:val="Heading2"/>
        <w:spacing w:before="260" w:after="140"/>
        <w:jc w:val="both"/>
      </w:pPr>
      <w:r>
        <w:rPr>
          <w:b/>
          <w:bCs/>
          <w:color w:val="1F3864"/>
          <w:sz w:val="24"/>
          <w:szCs w:val="24"/>
        </w:rPr>
        <w:lastRenderedPageBreak/>
        <w:t>3.5 Drift and Stability</w:t>
      </w:r>
    </w:p>
    <w:p w14:paraId="3BFD081D" w14:textId="77777777" w:rsidR="00134DC3" w:rsidRDefault="00000000" w:rsidP="00CD406F">
      <w:pPr>
        <w:spacing w:after="200" w:line="300" w:lineRule="auto"/>
        <w:jc w:val="both"/>
      </w:pPr>
      <w:r>
        <w:t xml:space="preserve">Population Stability Index values for continuous predictors comparing the training years to 2024 were uniformly in the stable range (PSI &lt; 0.01 for all predictors examined), indicating no material distributional shift in the underlying population between the training period and the external test year. A direct comparison of missingness rates, motivated by a pattern identified during exploratory analysis, found a small but consistent upward drift in non-report for body-mass index (+0.32 percentage points), maternal education (+0.23), weight gain (+0.19), maternal height (+0.11), and cigarette-count fields (+0.07 to +0.08) between the training years and 2024. These shifts are small in absolute terms but consistent in </w:t>
      </w:r>
      <w:proofErr w:type="gramStart"/>
      <w:r>
        <w:t>direction, and</w:t>
      </w:r>
      <w:proofErr w:type="gramEnd"/>
      <w:r>
        <w:t xml:space="preserve"> would be a reasonable candidate for continued monitoring if this model were extended to future birth years.</w:t>
      </w:r>
    </w:p>
    <w:p w14:paraId="752D1354" w14:textId="77777777" w:rsidR="00134DC3" w:rsidRDefault="00000000" w:rsidP="00CD406F">
      <w:pPr>
        <w:pStyle w:val="Heading2"/>
        <w:spacing w:before="260" w:after="140"/>
        <w:jc w:val="both"/>
      </w:pPr>
      <w:r>
        <w:rPr>
          <w:b/>
          <w:bCs/>
          <w:color w:val="1F3864"/>
          <w:sz w:val="24"/>
          <w:szCs w:val="24"/>
        </w:rPr>
        <w:t>3.6 Calibration</w:t>
      </w:r>
    </w:p>
    <w:p w14:paraId="5D4B72B4" w14:textId="77777777" w:rsidR="00134DC3" w:rsidRDefault="00000000" w:rsidP="00CD406F">
      <w:pPr>
        <w:spacing w:after="200" w:line="300" w:lineRule="auto"/>
        <w:jc w:val="both"/>
      </w:pPr>
      <w:r>
        <w:t xml:space="preserve">The primary model's Brier score on the 2024 test year is 0.186, higher (worse) than the 0.093 achieved by a model that predicts the population base rate for every birth. The calibration intercept is −2.13, and the reliability diagram (ten equal-count bins) shows predicted probability exceeding observed preterm rate across the entire range, from a mean predicted probability of 0.17 against an observed rate of 0.02 in the lowest bin to a mean predicted probability of 0.79 against an observed rate of 0.40 in the highest — a pattern of substantial overprediction that widens in absolute terms toward the top of the probability range. The calibration slope is 1.13, close to the ideal value of 1, indicating that relative risk ranking is largely intact even though the absolute probability scale is not. This combination — good ranking, poor absolute calibration — is the expected effect of using </w:t>
      </w:r>
      <w:proofErr w:type="spellStart"/>
      <w:r>
        <w:t>scale_pos_weight</w:t>
      </w:r>
      <w:proofErr w:type="spellEnd"/>
      <w:r>
        <w:t xml:space="preserve"> to correct class imbalance during training: the correction improves how well the model orders cases by risk, which is what AUC, F1, and the promotion gate in Section 2.7 measure, at the direct cost of inflating predicted probabilities for the positive class. A practical consequence follows directly: the model's raw output supports ranking, thresholding, and the risk-decile stratification reported in Section </w:t>
      </w:r>
      <w:proofErr w:type="gramStart"/>
      <w:r>
        <w:t>3.4, but</w:t>
      </w:r>
      <w:proofErr w:type="gramEnd"/>
      <w:r>
        <w:t xml:space="preserve"> should not be presented to a clinician or patient as a literal probability without post-hoc recalibration (for example, Platt scaling or isotonic regression fit on an independent calibration set), which was not performed in this study.</w:t>
      </w:r>
    </w:p>
    <w:p w14:paraId="327C4087" w14:textId="77777777" w:rsidR="00134DC3" w:rsidRDefault="00000000" w:rsidP="00CD406F">
      <w:pPr>
        <w:pStyle w:val="Heading2"/>
        <w:spacing w:before="260" w:after="140"/>
        <w:jc w:val="both"/>
      </w:pPr>
      <w:r>
        <w:rPr>
          <w:b/>
          <w:bCs/>
          <w:color w:val="1F3864"/>
          <w:sz w:val="24"/>
          <w:szCs w:val="24"/>
        </w:rPr>
        <w:t>3.7 Subgroup and Disparity Analysis</w:t>
      </w:r>
    </w:p>
    <w:p w14:paraId="63C44C6A" w14:textId="77777777" w:rsidR="00134DC3" w:rsidRDefault="00000000" w:rsidP="00CD406F">
      <w:pPr>
        <w:spacing w:after="200" w:line="300" w:lineRule="auto"/>
        <w:jc w:val="both"/>
      </w:pPr>
      <w:r>
        <w:t>Table 2 reports performance by race/ethnicity group and Table 3 by maternal age group, both on the 2024 test year using the model's single decision threshold. No group fell below the 1,000-record minimum applied in this analysis.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000"/>
        <w:gridCol w:w="1100"/>
        <w:gridCol w:w="1200"/>
        <w:gridCol w:w="1000"/>
      </w:tblGrid>
      <w:tr w:rsidR="00134DC3" w14:paraId="73B36766"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tcPr>
          <w:p w14:paraId="7CB46262" w14:textId="77777777" w:rsidR="00134DC3" w:rsidRDefault="00000000">
            <w:pPr>
              <w:jc w:val="center"/>
            </w:pPr>
            <w:r>
              <w:rPr>
                <w:b/>
                <w:bCs/>
                <w:sz w:val="19"/>
                <w:szCs w:val="19"/>
              </w:rPr>
              <w:t>Group</w:t>
            </w:r>
          </w:p>
        </w:tc>
        <w:tc>
          <w:tcPr>
            <w:tcW w:w="1400" w:type="dxa"/>
            <w:shd w:val="clear" w:color="auto" w:fill="D9D9D9"/>
            <w:tcMar>
              <w:top w:w="80" w:type="dxa"/>
              <w:left w:w="100" w:type="dxa"/>
              <w:bottom w:w="80" w:type="dxa"/>
              <w:right w:w="100" w:type="dxa"/>
            </w:tcMar>
          </w:tcPr>
          <w:p w14:paraId="2F2F4EAD" w14:textId="77777777" w:rsidR="00134DC3" w:rsidRDefault="00000000">
            <w:pPr>
              <w:jc w:val="center"/>
            </w:pPr>
            <w:r>
              <w:rPr>
                <w:b/>
                <w:bCs/>
                <w:sz w:val="19"/>
                <w:szCs w:val="19"/>
              </w:rPr>
              <w:t>n</w:t>
            </w:r>
          </w:p>
        </w:tc>
        <w:tc>
          <w:tcPr>
            <w:tcW w:w="1400" w:type="dxa"/>
            <w:shd w:val="clear" w:color="auto" w:fill="D9D9D9"/>
            <w:tcMar>
              <w:top w:w="80" w:type="dxa"/>
              <w:left w:w="100" w:type="dxa"/>
              <w:bottom w:w="80" w:type="dxa"/>
              <w:right w:w="100" w:type="dxa"/>
            </w:tcMar>
          </w:tcPr>
          <w:p w14:paraId="44EA0D1A" w14:textId="77777777" w:rsidR="00134DC3" w:rsidRDefault="00000000">
            <w:pPr>
              <w:jc w:val="center"/>
            </w:pPr>
            <w:r>
              <w:rPr>
                <w:b/>
                <w:bCs/>
                <w:sz w:val="19"/>
                <w:szCs w:val="19"/>
              </w:rPr>
              <w:t>Preterm rate</w:t>
            </w:r>
          </w:p>
        </w:tc>
        <w:tc>
          <w:tcPr>
            <w:tcW w:w="1000" w:type="dxa"/>
            <w:shd w:val="clear" w:color="auto" w:fill="D9D9D9"/>
            <w:tcMar>
              <w:top w:w="80" w:type="dxa"/>
              <w:left w:w="100" w:type="dxa"/>
              <w:bottom w:w="80" w:type="dxa"/>
              <w:right w:w="100" w:type="dxa"/>
            </w:tcMar>
          </w:tcPr>
          <w:p w14:paraId="62057882" w14:textId="77777777" w:rsidR="00134DC3" w:rsidRDefault="00000000">
            <w:pPr>
              <w:jc w:val="center"/>
            </w:pPr>
            <w:r>
              <w:rPr>
                <w:b/>
                <w:bCs/>
                <w:sz w:val="19"/>
                <w:szCs w:val="19"/>
              </w:rPr>
              <w:t>AUC</w:t>
            </w:r>
          </w:p>
        </w:tc>
        <w:tc>
          <w:tcPr>
            <w:tcW w:w="1100" w:type="dxa"/>
            <w:shd w:val="clear" w:color="auto" w:fill="D9D9D9"/>
            <w:tcMar>
              <w:top w:w="80" w:type="dxa"/>
              <w:left w:w="100" w:type="dxa"/>
              <w:bottom w:w="80" w:type="dxa"/>
              <w:right w:w="100" w:type="dxa"/>
            </w:tcMar>
          </w:tcPr>
          <w:p w14:paraId="06ECF9CF" w14:textId="77777777" w:rsidR="00134DC3" w:rsidRDefault="00000000">
            <w:pPr>
              <w:jc w:val="center"/>
            </w:pPr>
            <w:r>
              <w:rPr>
                <w:b/>
                <w:bCs/>
                <w:sz w:val="19"/>
                <w:szCs w:val="19"/>
              </w:rPr>
              <w:t>PR-AUC</w:t>
            </w:r>
          </w:p>
        </w:tc>
        <w:tc>
          <w:tcPr>
            <w:tcW w:w="1200" w:type="dxa"/>
            <w:shd w:val="clear" w:color="auto" w:fill="D9D9D9"/>
            <w:tcMar>
              <w:top w:w="80" w:type="dxa"/>
              <w:left w:w="100" w:type="dxa"/>
              <w:bottom w:w="80" w:type="dxa"/>
              <w:right w:w="100" w:type="dxa"/>
            </w:tcMar>
          </w:tcPr>
          <w:p w14:paraId="4C3820DD" w14:textId="77777777" w:rsidR="00134DC3" w:rsidRDefault="00000000">
            <w:pPr>
              <w:jc w:val="center"/>
            </w:pPr>
            <w:r>
              <w:rPr>
                <w:b/>
                <w:bCs/>
                <w:sz w:val="19"/>
                <w:szCs w:val="19"/>
              </w:rPr>
              <w:t>Preterm F1</w:t>
            </w:r>
          </w:p>
        </w:tc>
        <w:tc>
          <w:tcPr>
            <w:tcW w:w="1000" w:type="dxa"/>
            <w:shd w:val="clear" w:color="auto" w:fill="D9D9D9"/>
            <w:tcMar>
              <w:top w:w="80" w:type="dxa"/>
              <w:left w:w="100" w:type="dxa"/>
              <w:bottom w:w="80" w:type="dxa"/>
              <w:right w:w="100" w:type="dxa"/>
            </w:tcMar>
          </w:tcPr>
          <w:p w14:paraId="20518DA3" w14:textId="77777777" w:rsidR="00134DC3" w:rsidRDefault="00000000">
            <w:pPr>
              <w:jc w:val="center"/>
            </w:pPr>
            <w:r>
              <w:rPr>
                <w:b/>
                <w:bCs/>
                <w:sz w:val="19"/>
                <w:szCs w:val="19"/>
              </w:rPr>
              <w:t>Brier</w:t>
            </w:r>
          </w:p>
        </w:tc>
      </w:tr>
      <w:tr w:rsidR="00134DC3" w14:paraId="088989E7" w14:textId="77777777">
        <w:tblPrEx>
          <w:tblCellMar>
            <w:top w:w="0" w:type="dxa"/>
            <w:bottom w:w="0" w:type="dxa"/>
          </w:tblCellMar>
        </w:tblPrEx>
        <w:tc>
          <w:tcPr>
            <w:tcW w:w="3000" w:type="dxa"/>
            <w:tcMar>
              <w:top w:w="80" w:type="dxa"/>
              <w:left w:w="100" w:type="dxa"/>
              <w:bottom w:w="80" w:type="dxa"/>
              <w:right w:w="100" w:type="dxa"/>
            </w:tcMar>
          </w:tcPr>
          <w:p w14:paraId="4492B54E" w14:textId="77777777" w:rsidR="00134DC3" w:rsidRDefault="00000000">
            <w:r>
              <w:rPr>
                <w:sz w:val="19"/>
                <w:szCs w:val="19"/>
              </w:rPr>
              <w:t>Non-Hispanic White</w:t>
            </w:r>
          </w:p>
        </w:tc>
        <w:tc>
          <w:tcPr>
            <w:tcW w:w="1400" w:type="dxa"/>
            <w:tcMar>
              <w:top w:w="80" w:type="dxa"/>
              <w:left w:w="100" w:type="dxa"/>
              <w:bottom w:w="80" w:type="dxa"/>
              <w:right w:w="100" w:type="dxa"/>
            </w:tcMar>
          </w:tcPr>
          <w:p w14:paraId="4B4257EA" w14:textId="77777777" w:rsidR="00134DC3" w:rsidRDefault="00000000">
            <w:pPr>
              <w:jc w:val="center"/>
            </w:pPr>
            <w:r>
              <w:rPr>
                <w:sz w:val="19"/>
                <w:szCs w:val="19"/>
              </w:rPr>
              <w:t>1,784,051</w:t>
            </w:r>
          </w:p>
        </w:tc>
        <w:tc>
          <w:tcPr>
            <w:tcW w:w="1400" w:type="dxa"/>
            <w:tcMar>
              <w:top w:w="80" w:type="dxa"/>
              <w:left w:w="100" w:type="dxa"/>
              <w:bottom w:w="80" w:type="dxa"/>
              <w:right w:w="100" w:type="dxa"/>
            </w:tcMar>
          </w:tcPr>
          <w:p w14:paraId="4B337909" w14:textId="77777777" w:rsidR="00134DC3" w:rsidRDefault="00000000">
            <w:pPr>
              <w:jc w:val="center"/>
            </w:pPr>
            <w:r>
              <w:rPr>
                <w:sz w:val="19"/>
                <w:szCs w:val="19"/>
              </w:rPr>
              <w:t>9.5%</w:t>
            </w:r>
          </w:p>
        </w:tc>
        <w:tc>
          <w:tcPr>
            <w:tcW w:w="1000" w:type="dxa"/>
            <w:tcMar>
              <w:top w:w="80" w:type="dxa"/>
              <w:left w:w="100" w:type="dxa"/>
              <w:bottom w:w="80" w:type="dxa"/>
              <w:right w:w="100" w:type="dxa"/>
            </w:tcMar>
          </w:tcPr>
          <w:p w14:paraId="10B71D9F" w14:textId="77777777" w:rsidR="00134DC3" w:rsidRDefault="00000000">
            <w:pPr>
              <w:jc w:val="center"/>
            </w:pPr>
            <w:r>
              <w:rPr>
                <w:sz w:val="19"/>
                <w:szCs w:val="19"/>
              </w:rPr>
              <w:t>0.772</w:t>
            </w:r>
          </w:p>
        </w:tc>
        <w:tc>
          <w:tcPr>
            <w:tcW w:w="1100" w:type="dxa"/>
            <w:tcMar>
              <w:top w:w="80" w:type="dxa"/>
              <w:left w:w="100" w:type="dxa"/>
              <w:bottom w:w="80" w:type="dxa"/>
              <w:right w:w="100" w:type="dxa"/>
            </w:tcMar>
          </w:tcPr>
          <w:p w14:paraId="5BF81DF3" w14:textId="77777777" w:rsidR="00134DC3" w:rsidRDefault="00000000">
            <w:pPr>
              <w:jc w:val="center"/>
            </w:pPr>
            <w:r>
              <w:rPr>
                <w:sz w:val="19"/>
                <w:szCs w:val="19"/>
              </w:rPr>
              <w:t>0.378</w:t>
            </w:r>
          </w:p>
        </w:tc>
        <w:tc>
          <w:tcPr>
            <w:tcW w:w="1200" w:type="dxa"/>
            <w:tcMar>
              <w:top w:w="80" w:type="dxa"/>
              <w:left w:w="100" w:type="dxa"/>
              <w:bottom w:w="80" w:type="dxa"/>
              <w:right w:w="100" w:type="dxa"/>
            </w:tcMar>
          </w:tcPr>
          <w:p w14:paraId="58A1CE2A" w14:textId="77777777" w:rsidR="00134DC3" w:rsidRDefault="00000000">
            <w:pPr>
              <w:jc w:val="center"/>
            </w:pPr>
            <w:r>
              <w:rPr>
                <w:sz w:val="19"/>
                <w:szCs w:val="19"/>
              </w:rPr>
              <w:t>0.383</w:t>
            </w:r>
          </w:p>
        </w:tc>
        <w:tc>
          <w:tcPr>
            <w:tcW w:w="1000" w:type="dxa"/>
            <w:tcMar>
              <w:top w:w="80" w:type="dxa"/>
              <w:left w:w="100" w:type="dxa"/>
              <w:bottom w:w="80" w:type="dxa"/>
              <w:right w:w="100" w:type="dxa"/>
            </w:tcMar>
          </w:tcPr>
          <w:p w14:paraId="526F07C2" w14:textId="77777777" w:rsidR="00134DC3" w:rsidRDefault="00000000">
            <w:pPr>
              <w:jc w:val="center"/>
            </w:pPr>
            <w:r>
              <w:rPr>
                <w:sz w:val="19"/>
                <w:szCs w:val="19"/>
              </w:rPr>
              <w:t>0.169</w:t>
            </w:r>
          </w:p>
        </w:tc>
      </w:tr>
      <w:tr w:rsidR="00134DC3" w14:paraId="09DF9829" w14:textId="77777777">
        <w:tblPrEx>
          <w:tblCellMar>
            <w:top w:w="0" w:type="dxa"/>
            <w:bottom w:w="0" w:type="dxa"/>
          </w:tblCellMar>
        </w:tblPrEx>
        <w:tc>
          <w:tcPr>
            <w:tcW w:w="3000" w:type="dxa"/>
            <w:tcMar>
              <w:top w:w="80" w:type="dxa"/>
              <w:left w:w="100" w:type="dxa"/>
              <w:bottom w:w="80" w:type="dxa"/>
              <w:right w:w="100" w:type="dxa"/>
            </w:tcMar>
          </w:tcPr>
          <w:p w14:paraId="1F7C1007" w14:textId="77777777" w:rsidR="00134DC3" w:rsidRDefault="00000000">
            <w:r>
              <w:rPr>
                <w:sz w:val="19"/>
                <w:szCs w:val="19"/>
              </w:rPr>
              <w:t>Non-Hispanic Black</w:t>
            </w:r>
          </w:p>
        </w:tc>
        <w:tc>
          <w:tcPr>
            <w:tcW w:w="1400" w:type="dxa"/>
            <w:tcMar>
              <w:top w:w="80" w:type="dxa"/>
              <w:left w:w="100" w:type="dxa"/>
              <w:bottom w:w="80" w:type="dxa"/>
              <w:right w:w="100" w:type="dxa"/>
            </w:tcMar>
          </w:tcPr>
          <w:p w14:paraId="757F9D5A" w14:textId="77777777" w:rsidR="00134DC3" w:rsidRDefault="00000000">
            <w:pPr>
              <w:jc w:val="center"/>
            </w:pPr>
            <w:r>
              <w:rPr>
                <w:sz w:val="19"/>
                <w:szCs w:val="19"/>
              </w:rPr>
              <w:t>473,624</w:t>
            </w:r>
          </w:p>
        </w:tc>
        <w:tc>
          <w:tcPr>
            <w:tcW w:w="1400" w:type="dxa"/>
            <w:tcMar>
              <w:top w:w="80" w:type="dxa"/>
              <w:left w:w="100" w:type="dxa"/>
              <w:bottom w:w="80" w:type="dxa"/>
              <w:right w:w="100" w:type="dxa"/>
            </w:tcMar>
          </w:tcPr>
          <w:p w14:paraId="3BC48A78" w14:textId="77777777" w:rsidR="00134DC3" w:rsidRDefault="00000000">
            <w:pPr>
              <w:jc w:val="center"/>
            </w:pPr>
            <w:r>
              <w:rPr>
                <w:sz w:val="19"/>
                <w:szCs w:val="19"/>
              </w:rPr>
              <w:t>14.8%</w:t>
            </w:r>
          </w:p>
        </w:tc>
        <w:tc>
          <w:tcPr>
            <w:tcW w:w="1000" w:type="dxa"/>
            <w:tcMar>
              <w:top w:w="80" w:type="dxa"/>
              <w:left w:w="100" w:type="dxa"/>
              <w:bottom w:w="80" w:type="dxa"/>
              <w:right w:w="100" w:type="dxa"/>
            </w:tcMar>
          </w:tcPr>
          <w:p w14:paraId="7E00F256" w14:textId="77777777" w:rsidR="00134DC3" w:rsidRDefault="00000000">
            <w:pPr>
              <w:jc w:val="center"/>
            </w:pPr>
            <w:r>
              <w:rPr>
                <w:sz w:val="19"/>
                <w:szCs w:val="19"/>
              </w:rPr>
              <w:t>0.761</w:t>
            </w:r>
          </w:p>
        </w:tc>
        <w:tc>
          <w:tcPr>
            <w:tcW w:w="1100" w:type="dxa"/>
            <w:tcMar>
              <w:top w:w="80" w:type="dxa"/>
              <w:left w:w="100" w:type="dxa"/>
              <w:bottom w:w="80" w:type="dxa"/>
              <w:right w:w="100" w:type="dxa"/>
            </w:tcMar>
          </w:tcPr>
          <w:p w14:paraId="055DB7CB" w14:textId="77777777" w:rsidR="00134DC3" w:rsidRDefault="00000000">
            <w:pPr>
              <w:jc w:val="center"/>
            </w:pPr>
            <w:r>
              <w:rPr>
                <w:sz w:val="19"/>
                <w:szCs w:val="19"/>
              </w:rPr>
              <w:t>0.438</w:t>
            </w:r>
          </w:p>
        </w:tc>
        <w:tc>
          <w:tcPr>
            <w:tcW w:w="1200" w:type="dxa"/>
            <w:tcMar>
              <w:top w:w="80" w:type="dxa"/>
              <w:left w:w="100" w:type="dxa"/>
              <w:bottom w:w="80" w:type="dxa"/>
              <w:right w:w="100" w:type="dxa"/>
            </w:tcMar>
          </w:tcPr>
          <w:p w14:paraId="7760A59C" w14:textId="77777777" w:rsidR="00134DC3" w:rsidRDefault="00000000">
            <w:pPr>
              <w:jc w:val="center"/>
            </w:pPr>
            <w:r>
              <w:rPr>
                <w:sz w:val="19"/>
                <w:szCs w:val="19"/>
              </w:rPr>
              <w:t>0.432</w:t>
            </w:r>
          </w:p>
        </w:tc>
        <w:tc>
          <w:tcPr>
            <w:tcW w:w="1000" w:type="dxa"/>
            <w:tcMar>
              <w:top w:w="80" w:type="dxa"/>
              <w:left w:w="100" w:type="dxa"/>
              <w:bottom w:w="80" w:type="dxa"/>
              <w:right w:w="100" w:type="dxa"/>
            </w:tcMar>
          </w:tcPr>
          <w:p w14:paraId="51BE3AB8" w14:textId="77777777" w:rsidR="00134DC3" w:rsidRDefault="00000000">
            <w:pPr>
              <w:jc w:val="center"/>
            </w:pPr>
            <w:r>
              <w:rPr>
                <w:sz w:val="19"/>
                <w:szCs w:val="19"/>
              </w:rPr>
              <w:t>0.243</w:t>
            </w:r>
          </w:p>
        </w:tc>
      </w:tr>
      <w:tr w:rsidR="00134DC3" w14:paraId="2A421FAD" w14:textId="77777777">
        <w:tblPrEx>
          <w:tblCellMar>
            <w:top w:w="0" w:type="dxa"/>
            <w:bottom w:w="0" w:type="dxa"/>
          </w:tblCellMar>
        </w:tblPrEx>
        <w:tc>
          <w:tcPr>
            <w:tcW w:w="3000" w:type="dxa"/>
            <w:tcMar>
              <w:top w:w="80" w:type="dxa"/>
              <w:left w:w="100" w:type="dxa"/>
              <w:bottom w:w="80" w:type="dxa"/>
              <w:right w:w="100" w:type="dxa"/>
            </w:tcMar>
          </w:tcPr>
          <w:p w14:paraId="61DD2546" w14:textId="77777777" w:rsidR="00134DC3" w:rsidRDefault="00000000">
            <w:r>
              <w:rPr>
                <w:sz w:val="19"/>
                <w:szCs w:val="19"/>
              </w:rPr>
              <w:t>Hispanic</w:t>
            </w:r>
          </w:p>
        </w:tc>
        <w:tc>
          <w:tcPr>
            <w:tcW w:w="1400" w:type="dxa"/>
            <w:tcMar>
              <w:top w:w="80" w:type="dxa"/>
              <w:left w:w="100" w:type="dxa"/>
              <w:bottom w:w="80" w:type="dxa"/>
              <w:right w:w="100" w:type="dxa"/>
            </w:tcMar>
          </w:tcPr>
          <w:p w14:paraId="7BEBDA19" w14:textId="77777777" w:rsidR="00134DC3" w:rsidRDefault="00000000">
            <w:pPr>
              <w:jc w:val="center"/>
            </w:pPr>
            <w:r>
              <w:rPr>
                <w:sz w:val="19"/>
                <w:szCs w:val="19"/>
              </w:rPr>
              <w:t>991,715</w:t>
            </w:r>
          </w:p>
        </w:tc>
        <w:tc>
          <w:tcPr>
            <w:tcW w:w="1400" w:type="dxa"/>
            <w:tcMar>
              <w:top w:w="80" w:type="dxa"/>
              <w:left w:w="100" w:type="dxa"/>
              <w:bottom w:w="80" w:type="dxa"/>
              <w:right w:w="100" w:type="dxa"/>
            </w:tcMar>
          </w:tcPr>
          <w:p w14:paraId="221AF1F6" w14:textId="77777777" w:rsidR="00134DC3" w:rsidRDefault="00000000">
            <w:pPr>
              <w:jc w:val="center"/>
            </w:pPr>
            <w:r>
              <w:rPr>
                <w:sz w:val="19"/>
                <w:szCs w:val="19"/>
              </w:rPr>
              <w:t>10.0%</w:t>
            </w:r>
          </w:p>
        </w:tc>
        <w:tc>
          <w:tcPr>
            <w:tcW w:w="1000" w:type="dxa"/>
            <w:tcMar>
              <w:top w:w="80" w:type="dxa"/>
              <w:left w:w="100" w:type="dxa"/>
              <w:bottom w:w="80" w:type="dxa"/>
              <w:right w:w="100" w:type="dxa"/>
            </w:tcMar>
          </w:tcPr>
          <w:p w14:paraId="7EC12E06" w14:textId="77777777" w:rsidR="00134DC3" w:rsidRDefault="00000000">
            <w:pPr>
              <w:jc w:val="center"/>
            </w:pPr>
            <w:r>
              <w:rPr>
                <w:sz w:val="19"/>
                <w:szCs w:val="19"/>
              </w:rPr>
              <w:t>0.740</w:t>
            </w:r>
          </w:p>
        </w:tc>
        <w:tc>
          <w:tcPr>
            <w:tcW w:w="1100" w:type="dxa"/>
            <w:tcMar>
              <w:top w:w="80" w:type="dxa"/>
              <w:left w:w="100" w:type="dxa"/>
              <w:bottom w:w="80" w:type="dxa"/>
              <w:right w:w="100" w:type="dxa"/>
            </w:tcMar>
          </w:tcPr>
          <w:p w14:paraId="540F9D35" w14:textId="77777777" w:rsidR="00134DC3" w:rsidRDefault="00000000">
            <w:pPr>
              <w:jc w:val="center"/>
            </w:pPr>
            <w:r>
              <w:rPr>
                <w:sz w:val="19"/>
                <w:szCs w:val="19"/>
              </w:rPr>
              <w:t>0.342</w:t>
            </w:r>
          </w:p>
        </w:tc>
        <w:tc>
          <w:tcPr>
            <w:tcW w:w="1200" w:type="dxa"/>
            <w:tcMar>
              <w:top w:w="80" w:type="dxa"/>
              <w:left w:w="100" w:type="dxa"/>
              <w:bottom w:w="80" w:type="dxa"/>
              <w:right w:w="100" w:type="dxa"/>
            </w:tcMar>
          </w:tcPr>
          <w:p w14:paraId="760ECBFF" w14:textId="77777777" w:rsidR="00134DC3" w:rsidRDefault="00000000">
            <w:pPr>
              <w:jc w:val="center"/>
            </w:pPr>
            <w:r>
              <w:rPr>
                <w:sz w:val="19"/>
                <w:szCs w:val="19"/>
              </w:rPr>
              <w:t>0.341</w:t>
            </w:r>
          </w:p>
        </w:tc>
        <w:tc>
          <w:tcPr>
            <w:tcW w:w="1000" w:type="dxa"/>
            <w:tcMar>
              <w:top w:w="80" w:type="dxa"/>
              <w:left w:w="100" w:type="dxa"/>
              <w:bottom w:w="80" w:type="dxa"/>
              <w:right w:w="100" w:type="dxa"/>
            </w:tcMar>
          </w:tcPr>
          <w:p w14:paraId="30B4FC5C" w14:textId="77777777" w:rsidR="00134DC3" w:rsidRDefault="00000000">
            <w:pPr>
              <w:jc w:val="center"/>
            </w:pPr>
            <w:r>
              <w:rPr>
                <w:sz w:val="19"/>
                <w:szCs w:val="19"/>
              </w:rPr>
              <w:t>0.190</w:t>
            </w:r>
          </w:p>
        </w:tc>
      </w:tr>
      <w:tr w:rsidR="00134DC3" w14:paraId="195B4F9E" w14:textId="77777777">
        <w:tblPrEx>
          <w:tblCellMar>
            <w:top w:w="0" w:type="dxa"/>
            <w:bottom w:w="0" w:type="dxa"/>
          </w:tblCellMar>
        </w:tblPrEx>
        <w:tc>
          <w:tcPr>
            <w:tcW w:w="3000" w:type="dxa"/>
            <w:tcMar>
              <w:top w:w="80" w:type="dxa"/>
              <w:left w:w="100" w:type="dxa"/>
              <w:bottom w:w="80" w:type="dxa"/>
              <w:right w:w="100" w:type="dxa"/>
            </w:tcMar>
          </w:tcPr>
          <w:p w14:paraId="45C609E9" w14:textId="77777777" w:rsidR="00134DC3" w:rsidRDefault="00000000">
            <w:r>
              <w:rPr>
                <w:sz w:val="19"/>
                <w:szCs w:val="19"/>
              </w:rPr>
              <w:lastRenderedPageBreak/>
              <w:t>Non-Hispanic Asian</w:t>
            </w:r>
          </w:p>
        </w:tc>
        <w:tc>
          <w:tcPr>
            <w:tcW w:w="1400" w:type="dxa"/>
            <w:tcMar>
              <w:top w:w="80" w:type="dxa"/>
              <w:left w:w="100" w:type="dxa"/>
              <w:bottom w:w="80" w:type="dxa"/>
              <w:right w:w="100" w:type="dxa"/>
            </w:tcMar>
          </w:tcPr>
          <w:p w14:paraId="59771638" w14:textId="77777777" w:rsidR="00134DC3" w:rsidRDefault="00000000">
            <w:pPr>
              <w:jc w:val="center"/>
            </w:pPr>
            <w:r>
              <w:rPr>
                <w:sz w:val="19"/>
                <w:szCs w:val="19"/>
              </w:rPr>
              <w:t>227,183</w:t>
            </w:r>
          </w:p>
        </w:tc>
        <w:tc>
          <w:tcPr>
            <w:tcW w:w="1400" w:type="dxa"/>
            <w:tcMar>
              <w:top w:w="80" w:type="dxa"/>
              <w:left w:w="100" w:type="dxa"/>
              <w:bottom w:w="80" w:type="dxa"/>
              <w:right w:w="100" w:type="dxa"/>
            </w:tcMar>
          </w:tcPr>
          <w:p w14:paraId="489C55BC" w14:textId="77777777" w:rsidR="00134DC3" w:rsidRDefault="00000000">
            <w:pPr>
              <w:jc w:val="center"/>
            </w:pPr>
            <w:r>
              <w:rPr>
                <w:sz w:val="19"/>
                <w:szCs w:val="19"/>
              </w:rPr>
              <w:t>9.2%</w:t>
            </w:r>
          </w:p>
        </w:tc>
        <w:tc>
          <w:tcPr>
            <w:tcW w:w="1000" w:type="dxa"/>
            <w:tcMar>
              <w:top w:w="80" w:type="dxa"/>
              <w:left w:w="100" w:type="dxa"/>
              <w:bottom w:w="80" w:type="dxa"/>
              <w:right w:w="100" w:type="dxa"/>
            </w:tcMar>
          </w:tcPr>
          <w:p w14:paraId="3091DCA6" w14:textId="77777777" w:rsidR="00134DC3" w:rsidRDefault="00000000">
            <w:pPr>
              <w:jc w:val="center"/>
            </w:pPr>
            <w:r>
              <w:rPr>
                <w:sz w:val="19"/>
                <w:szCs w:val="19"/>
              </w:rPr>
              <w:t>0.741</w:t>
            </w:r>
          </w:p>
        </w:tc>
        <w:tc>
          <w:tcPr>
            <w:tcW w:w="1100" w:type="dxa"/>
            <w:tcMar>
              <w:top w:w="80" w:type="dxa"/>
              <w:left w:w="100" w:type="dxa"/>
              <w:bottom w:w="80" w:type="dxa"/>
              <w:right w:w="100" w:type="dxa"/>
            </w:tcMar>
          </w:tcPr>
          <w:p w14:paraId="66CA8D7E" w14:textId="77777777" w:rsidR="00134DC3" w:rsidRDefault="00000000">
            <w:pPr>
              <w:jc w:val="center"/>
            </w:pPr>
            <w:r>
              <w:rPr>
                <w:sz w:val="19"/>
                <w:szCs w:val="19"/>
              </w:rPr>
              <w:t>0.334</w:t>
            </w:r>
          </w:p>
        </w:tc>
        <w:tc>
          <w:tcPr>
            <w:tcW w:w="1200" w:type="dxa"/>
            <w:tcMar>
              <w:top w:w="80" w:type="dxa"/>
              <w:left w:w="100" w:type="dxa"/>
              <w:bottom w:w="80" w:type="dxa"/>
              <w:right w:w="100" w:type="dxa"/>
            </w:tcMar>
          </w:tcPr>
          <w:p w14:paraId="03A2F5AA" w14:textId="77777777" w:rsidR="00134DC3" w:rsidRDefault="00000000">
            <w:pPr>
              <w:jc w:val="center"/>
            </w:pPr>
            <w:r>
              <w:rPr>
                <w:sz w:val="19"/>
                <w:szCs w:val="19"/>
              </w:rPr>
              <w:t>0.333</w:t>
            </w:r>
          </w:p>
        </w:tc>
        <w:tc>
          <w:tcPr>
            <w:tcW w:w="1000" w:type="dxa"/>
            <w:tcMar>
              <w:top w:w="80" w:type="dxa"/>
              <w:left w:w="100" w:type="dxa"/>
              <w:bottom w:w="80" w:type="dxa"/>
              <w:right w:w="100" w:type="dxa"/>
            </w:tcMar>
          </w:tcPr>
          <w:p w14:paraId="1DB73AE6" w14:textId="77777777" w:rsidR="00134DC3" w:rsidRDefault="00000000">
            <w:pPr>
              <w:jc w:val="center"/>
            </w:pPr>
            <w:r>
              <w:rPr>
                <w:sz w:val="19"/>
                <w:szCs w:val="19"/>
              </w:rPr>
              <w:t>0.177</w:t>
            </w:r>
          </w:p>
        </w:tc>
      </w:tr>
      <w:tr w:rsidR="00134DC3" w14:paraId="29039443" w14:textId="77777777">
        <w:tblPrEx>
          <w:tblCellMar>
            <w:top w:w="0" w:type="dxa"/>
            <w:bottom w:w="0" w:type="dxa"/>
          </w:tblCellMar>
        </w:tblPrEx>
        <w:tc>
          <w:tcPr>
            <w:tcW w:w="3000" w:type="dxa"/>
            <w:tcMar>
              <w:top w:w="80" w:type="dxa"/>
              <w:left w:w="100" w:type="dxa"/>
              <w:bottom w:w="80" w:type="dxa"/>
              <w:right w:w="100" w:type="dxa"/>
            </w:tcMar>
          </w:tcPr>
          <w:p w14:paraId="5F0A0D81" w14:textId="77777777" w:rsidR="00134DC3" w:rsidRDefault="00000000">
            <w:r>
              <w:rPr>
                <w:sz w:val="19"/>
                <w:szCs w:val="19"/>
              </w:rPr>
              <w:t>Non-Hispanic AIAN</w:t>
            </w:r>
          </w:p>
        </w:tc>
        <w:tc>
          <w:tcPr>
            <w:tcW w:w="1400" w:type="dxa"/>
            <w:tcMar>
              <w:top w:w="80" w:type="dxa"/>
              <w:left w:w="100" w:type="dxa"/>
              <w:bottom w:w="80" w:type="dxa"/>
              <w:right w:w="100" w:type="dxa"/>
            </w:tcMar>
          </w:tcPr>
          <w:p w14:paraId="1FB4F50B" w14:textId="77777777" w:rsidR="00134DC3" w:rsidRDefault="00000000">
            <w:pPr>
              <w:jc w:val="center"/>
            </w:pPr>
            <w:r>
              <w:rPr>
                <w:sz w:val="19"/>
                <w:szCs w:val="19"/>
              </w:rPr>
              <w:t>24,033</w:t>
            </w:r>
          </w:p>
        </w:tc>
        <w:tc>
          <w:tcPr>
            <w:tcW w:w="1400" w:type="dxa"/>
            <w:tcMar>
              <w:top w:w="80" w:type="dxa"/>
              <w:left w:w="100" w:type="dxa"/>
              <w:bottom w:w="80" w:type="dxa"/>
              <w:right w:w="100" w:type="dxa"/>
            </w:tcMar>
          </w:tcPr>
          <w:p w14:paraId="7C295F0A" w14:textId="77777777" w:rsidR="00134DC3" w:rsidRDefault="00000000">
            <w:pPr>
              <w:jc w:val="center"/>
            </w:pPr>
            <w:r>
              <w:rPr>
                <w:sz w:val="19"/>
                <w:szCs w:val="19"/>
              </w:rPr>
              <w:t>12.6%</w:t>
            </w:r>
          </w:p>
        </w:tc>
        <w:tc>
          <w:tcPr>
            <w:tcW w:w="1000" w:type="dxa"/>
            <w:tcMar>
              <w:top w:w="80" w:type="dxa"/>
              <w:left w:w="100" w:type="dxa"/>
              <w:bottom w:w="80" w:type="dxa"/>
              <w:right w:w="100" w:type="dxa"/>
            </w:tcMar>
          </w:tcPr>
          <w:p w14:paraId="5A2FFDBD" w14:textId="77777777" w:rsidR="00134DC3" w:rsidRDefault="00000000">
            <w:pPr>
              <w:jc w:val="center"/>
            </w:pPr>
            <w:r>
              <w:rPr>
                <w:sz w:val="19"/>
                <w:szCs w:val="19"/>
              </w:rPr>
              <w:t>0.767</w:t>
            </w:r>
          </w:p>
        </w:tc>
        <w:tc>
          <w:tcPr>
            <w:tcW w:w="1100" w:type="dxa"/>
            <w:tcMar>
              <w:top w:w="80" w:type="dxa"/>
              <w:left w:w="100" w:type="dxa"/>
              <w:bottom w:w="80" w:type="dxa"/>
              <w:right w:w="100" w:type="dxa"/>
            </w:tcMar>
          </w:tcPr>
          <w:p w14:paraId="7E262648" w14:textId="77777777" w:rsidR="00134DC3" w:rsidRDefault="00000000">
            <w:pPr>
              <w:jc w:val="center"/>
            </w:pPr>
            <w:r>
              <w:rPr>
                <w:sz w:val="19"/>
                <w:szCs w:val="19"/>
              </w:rPr>
              <w:t>0.405</w:t>
            </w:r>
          </w:p>
        </w:tc>
        <w:tc>
          <w:tcPr>
            <w:tcW w:w="1200" w:type="dxa"/>
            <w:tcMar>
              <w:top w:w="80" w:type="dxa"/>
              <w:left w:w="100" w:type="dxa"/>
              <w:bottom w:w="80" w:type="dxa"/>
              <w:right w:w="100" w:type="dxa"/>
            </w:tcMar>
          </w:tcPr>
          <w:p w14:paraId="18978435" w14:textId="77777777" w:rsidR="00134DC3" w:rsidRDefault="00000000">
            <w:pPr>
              <w:jc w:val="center"/>
            </w:pPr>
            <w:r>
              <w:rPr>
                <w:sz w:val="19"/>
                <w:szCs w:val="19"/>
              </w:rPr>
              <w:t>0.414</w:t>
            </w:r>
          </w:p>
        </w:tc>
        <w:tc>
          <w:tcPr>
            <w:tcW w:w="1000" w:type="dxa"/>
            <w:tcMar>
              <w:top w:w="80" w:type="dxa"/>
              <w:left w:w="100" w:type="dxa"/>
              <w:bottom w:w="80" w:type="dxa"/>
              <w:right w:w="100" w:type="dxa"/>
            </w:tcMar>
          </w:tcPr>
          <w:p w14:paraId="07B79609" w14:textId="77777777" w:rsidR="00134DC3" w:rsidRDefault="00000000">
            <w:pPr>
              <w:jc w:val="center"/>
            </w:pPr>
            <w:r>
              <w:rPr>
                <w:sz w:val="19"/>
                <w:szCs w:val="19"/>
              </w:rPr>
              <w:t>0.214</w:t>
            </w:r>
          </w:p>
        </w:tc>
      </w:tr>
      <w:tr w:rsidR="00134DC3" w14:paraId="181998C3" w14:textId="77777777">
        <w:tblPrEx>
          <w:tblCellMar>
            <w:top w:w="0" w:type="dxa"/>
            <w:bottom w:w="0" w:type="dxa"/>
          </w:tblCellMar>
        </w:tblPrEx>
        <w:tc>
          <w:tcPr>
            <w:tcW w:w="3000" w:type="dxa"/>
            <w:tcMar>
              <w:top w:w="80" w:type="dxa"/>
              <w:left w:w="100" w:type="dxa"/>
              <w:bottom w:w="80" w:type="dxa"/>
              <w:right w:w="100" w:type="dxa"/>
            </w:tcMar>
          </w:tcPr>
          <w:p w14:paraId="095BA2A3" w14:textId="77777777" w:rsidR="00134DC3" w:rsidRDefault="00000000">
            <w:r>
              <w:rPr>
                <w:sz w:val="19"/>
                <w:szCs w:val="19"/>
              </w:rPr>
              <w:t>Non-Hispanic NHOPI</w:t>
            </w:r>
          </w:p>
        </w:tc>
        <w:tc>
          <w:tcPr>
            <w:tcW w:w="1400" w:type="dxa"/>
            <w:tcMar>
              <w:top w:w="80" w:type="dxa"/>
              <w:left w:w="100" w:type="dxa"/>
              <w:bottom w:w="80" w:type="dxa"/>
              <w:right w:w="100" w:type="dxa"/>
            </w:tcMar>
          </w:tcPr>
          <w:p w14:paraId="1B7B07F5" w14:textId="77777777" w:rsidR="00134DC3" w:rsidRDefault="00000000">
            <w:pPr>
              <w:jc w:val="center"/>
            </w:pPr>
            <w:r>
              <w:rPr>
                <w:sz w:val="19"/>
                <w:szCs w:val="19"/>
              </w:rPr>
              <w:t>10,391</w:t>
            </w:r>
          </w:p>
        </w:tc>
        <w:tc>
          <w:tcPr>
            <w:tcW w:w="1400" w:type="dxa"/>
            <w:tcMar>
              <w:top w:w="80" w:type="dxa"/>
              <w:left w:w="100" w:type="dxa"/>
              <w:bottom w:w="80" w:type="dxa"/>
              <w:right w:w="100" w:type="dxa"/>
            </w:tcMar>
          </w:tcPr>
          <w:p w14:paraId="59ECF315" w14:textId="77777777" w:rsidR="00134DC3" w:rsidRDefault="00000000">
            <w:pPr>
              <w:jc w:val="center"/>
            </w:pPr>
            <w:r>
              <w:rPr>
                <w:sz w:val="19"/>
                <w:szCs w:val="19"/>
              </w:rPr>
              <w:t>12.5%</w:t>
            </w:r>
          </w:p>
        </w:tc>
        <w:tc>
          <w:tcPr>
            <w:tcW w:w="1000" w:type="dxa"/>
            <w:tcMar>
              <w:top w:w="80" w:type="dxa"/>
              <w:left w:w="100" w:type="dxa"/>
              <w:bottom w:w="80" w:type="dxa"/>
              <w:right w:w="100" w:type="dxa"/>
            </w:tcMar>
          </w:tcPr>
          <w:p w14:paraId="7236457E" w14:textId="77777777" w:rsidR="00134DC3" w:rsidRDefault="00000000">
            <w:pPr>
              <w:jc w:val="center"/>
            </w:pPr>
            <w:r>
              <w:rPr>
                <w:sz w:val="19"/>
                <w:szCs w:val="19"/>
              </w:rPr>
              <w:t>0.757</w:t>
            </w:r>
          </w:p>
        </w:tc>
        <w:tc>
          <w:tcPr>
            <w:tcW w:w="1100" w:type="dxa"/>
            <w:tcMar>
              <w:top w:w="80" w:type="dxa"/>
              <w:left w:w="100" w:type="dxa"/>
              <w:bottom w:w="80" w:type="dxa"/>
              <w:right w:w="100" w:type="dxa"/>
            </w:tcMar>
          </w:tcPr>
          <w:p w14:paraId="2714DCF3" w14:textId="77777777" w:rsidR="00134DC3" w:rsidRDefault="00000000">
            <w:pPr>
              <w:jc w:val="center"/>
            </w:pPr>
            <w:r>
              <w:rPr>
                <w:sz w:val="19"/>
                <w:szCs w:val="19"/>
              </w:rPr>
              <w:t>0.381</w:t>
            </w:r>
          </w:p>
        </w:tc>
        <w:tc>
          <w:tcPr>
            <w:tcW w:w="1200" w:type="dxa"/>
            <w:tcMar>
              <w:top w:w="80" w:type="dxa"/>
              <w:left w:w="100" w:type="dxa"/>
              <w:bottom w:w="80" w:type="dxa"/>
              <w:right w:w="100" w:type="dxa"/>
            </w:tcMar>
          </w:tcPr>
          <w:p w14:paraId="666D1896" w14:textId="77777777" w:rsidR="00134DC3" w:rsidRDefault="00000000">
            <w:pPr>
              <w:jc w:val="center"/>
            </w:pPr>
            <w:r>
              <w:rPr>
                <w:sz w:val="19"/>
                <w:szCs w:val="19"/>
              </w:rPr>
              <w:t>0.381</w:t>
            </w:r>
          </w:p>
        </w:tc>
        <w:tc>
          <w:tcPr>
            <w:tcW w:w="1000" w:type="dxa"/>
            <w:tcMar>
              <w:top w:w="80" w:type="dxa"/>
              <w:left w:w="100" w:type="dxa"/>
              <w:bottom w:w="80" w:type="dxa"/>
              <w:right w:w="100" w:type="dxa"/>
            </w:tcMar>
          </w:tcPr>
          <w:p w14:paraId="0255292F" w14:textId="77777777" w:rsidR="00134DC3" w:rsidRDefault="00000000">
            <w:pPr>
              <w:jc w:val="center"/>
            </w:pPr>
            <w:r>
              <w:rPr>
                <w:sz w:val="19"/>
                <w:szCs w:val="19"/>
              </w:rPr>
              <w:t>0.216</w:t>
            </w:r>
          </w:p>
        </w:tc>
      </w:tr>
      <w:tr w:rsidR="00134DC3" w14:paraId="13709C01" w14:textId="77777777">
        <w:tblPrEx>
          <w:tblCellMar>
            <w:top w:w="0" w:type="dxa"/>
            <w:bottom w:w="0" w:type="dxa"/>
          </w:tblCellMar>
        </w:tblPrEx>
        <w:tc>
          <w:tcPr>
            <w:tcW w:w="3000" w:type="dxa"/>
            <w:tcMar>
              <w:top w:w="80" w:type="dxa"/>
              <w:left w:w="100" w:type="dxa"/>
              <w:bottom w:w="80" w:type="dxa"/>
              <w:right w:w="100" w:type="dxa"/>
            </w:tcMar>
          </w:tcPr>
          <w:p w14:paraId="29063C86" w14:textId="77777777" w:rsidR="00134DC3" w:rsidRDefault="00000000">
            <w:r>
              <w:rPr>
                <w:sz w:val="19"/>
                <w:szCs w:val="19"/>
              </w:rPr>
              <w:t>Non-Hispanic, more than one race</w:t>
            </w:r>
          </w:p>
        </w:tc>
        <w:tc>
          <w:tcPr>
            <w:tcW w:w="1400" w:type="dxa"/>
            <w:tcMar>
              <w:top w:w="80" w:type="dxa"/>
              <w:left w:w="100" w:type="dxa"/>
              <w:bottom w:w="80" w:type="dxa"/>
              <w:right w:w="100" w:type="dxa"/>
            </w:tcMar>
          </w:tcPr>
          <w:p w14:paraId="6F4C9653" w14:textId="77777777" w:rsidR="00134DC3" w:rsidRDefault="00000000">
            <w:pPr>
              <w:jc w:val="center"/>
            </w:pPr>
            <w:r>
              <w:rPr>
                <w:sz w:val="19"/>
                <w:szCs w:val="19"/>
              </w:rPr>
              <w:t>91,634</w:t>
            </w:r>
          </w:p>
        </w:tc>
        <w:tc>
          <w:tcPr>
            <w:tcW w:w="1400" w:type="dxa"/>
            <w:tcMar>
              <w:top w:w="80" w:type="dxa"/>
              <w:left w:w="100" w:type="dxa"/>
              <w:bottom w:w="80" w:type="dxa"/>
              <w:right w:w="100" w:type="dxa"/>
            </w:tcMar>
          </w:tcPr>
          <w:p w14:paraId="682FF073" w14:textId="77777777" w:rsidR="00134DC3" w:rsidRDefault="00000000">
            <w:pPr>
              <w:jc w:val="center"/>
            </w:pPr>
            <w:r>
              <w:rPr>
                <w:sz w:val="19"/>
                <w:szCs w:val="19"/>
              </w:rPr>
              <w:t>10.8%</w:t>
            </w:r>
          </w:p>
        </w:tc>
        <w:tc>
          <w:tcPr>
            <w:tcW w:w="1000" w:type="dxa"/>
            <w:tcMar>
              <w:top w:w="80" w:type="dxa"/>
              <w:left w:w="100" w:type="dxa"/>
              <w:bottom w:w="80" w:type="dxa"/>
              <w:right w:w="100" w:type="dxa"/>
            </w:tcMar>
          </w:tcPr>
          <w:p w14:paraId="12286730" w14:textId="77777777" w:rsidR="00134DC3" w:rsidRDefault="00000000">
            <w:pPr>
              <w:jc w:val="center"/>
            </w:pPr>
            <w:r>
              <w:rPr>
                <w:sz w:val="19"/>
                <w:szCs w:val="19"/>
              </w:rPr>
              <w:t>0.768</w:t>
            </w:r>
          </w:p>
        </w:tc>
        <w:tc>
          <w:tcPr>
            <w:tcW w:w="1100" w:type="dxa"/>
            <w:tcMar>
              <w:top w:w="80" w:type="dxa"/>
              <w:left w:w="100" w:type="dxa"/>
              <w:bottom w:w="80" w:type="dxa"/>
              <w:right w:w="100" w:type="dxa"/>
            </w:tcMar>
          </w:tcPr>
          <w:p w14:paraId="330B5622" w14:textId="77777777" w:rsidR="00134DC3" w:rsidRDefault="00000000">
            <w:pPr>
              <w:jc w:val="center"/>
            </w:pPr>
            <w:r>
              <w:rPr>
                <w:sz w:val="19"/>
                <w:szCs w:val="19"/>
              </w:rPr>
              <w:t>0.391</w:t>
            </w:r>
          </w:p>
        </w:tc>
        <w:tc>
          <w:tcPr>
            <w:tcW w:w="1200" w:type="dxa"/>
            <w:tcMar>
              <w:top w:w="80" w:type="dxa"/>
              <w:left w:w="100" w:type="dxa"/>
              <w:bottom w:w="80" w:type="dxa"/>
              <w:right w:w="100" w:type="dxa"/>
            </w:tcMar>
          </w:tcPr>
          <w:p w14:paraId="54F42AF2" w14:textId="77777777" w:rsidR="00134DC3" w:rsidRDefault="00000000">
            <w:pPr>
              <w:jc w:val="center"/>
            </w:pPr>
            <w:r>
              <w:rPr>
                <w:sz w:val="19"/>
                <w:szCs w:val="19"/>
              </w:rPr>
              <w:t>0.396</w:t>
            </w:r>
          </w:p>
        </w:tc>
        <w:tc>
          <w:tcPr>
            <w:tcW w:w="1000" w:type="dxa"/>
            <w:tcMar>
              <w:top w:w="80" w:type="dxa"/>
              <w:left w:w="100" w:type="dxa"/>
              <w:bottom w:w="80" w:type="dxa"/>
              <w:right w:w="100" w:type="dxa"/>
            </w:tcMar>
          </w:tcPr>
          <w:p w14:paraId="36206287" w14:textId="77777777" w:rsidR="00134DC3" w:rsidRDefault="00000000">
            <w:pPr>
              <w:jc w:val="center"/>
            </w:pPr>
            <w:r>
              <w:rPr>
                <w:sz w:val="19"/>
                <w:szCs w:val="19"/>
              </w:rPr>
              <w:t>0.190</w:t>
            </w:r>
          </w:p>
        </w:tc>
      </w:tr>
      <w:tr w:rsidR="00134DC3" w14:paraId="6A973B81" w14:textId="77777777">
        <w:tblPrEx>
          <w:tblCellMar>
            <w:top w:w="0" w:type="dxa"/>
            <w:bottom w:w="0" w:type="dxa"/>
          </w:tblCellMar>
        </w:tblPrEx>
        <w:tc>
          <w:tcPr>
            <w:tcW w:w="3000" w:type="dxa"/>
            <w:tcMar>
              <w:top w:w="80" w:type="dxa"/>
              <w:left w:w="100" w:type="dxa"/>
              <w:bottom w:w="80" w:type="dxa"/>
              <w:right w:w="100" w:type="dxa"/>
            </w:tcMar>
          </w:tcPr>
          <w:p w14:paraId="621D865D" w14:textId="77777777" w:rsidR="00134DC3" w:rsidRDefault="00000000">
            <w:r>
              <w:rPr>
                <w:sz w:val="19"/>
                <w:szCs w:val="19"/>
              </w:rPr>
              <w:t>Origin unknown or not stated</w:t>
            </w:r>
          </w:p>
        </w:tc>
        <w:tc>
          <w:tcPr>
            <w:tcW w:w="1400" w:type="dxa"/>
            <w:tcMar>
              <w:top w:w="80" w:type="dxa"/>
              <w:left w:w="100" w:type="dxa"/>
              <w:bottom w:w="80" w:type="dxa"/>
              <w:right w:w="100" w:type="dxa"/>
            </w:tcMar>
          </w:tcPr>
          <w:p w14:paraId="21B879E0" w14:textId="77777777" w:rsidR="00134DC3" w:rsidRDefault="00000000">
            <w:pPr>
              <w:jc w:val="center"/>
            </w:pPr>
            <w:r>
              <w:rPr>
                <w:sz w:val="19"/>
                <w:szCs w:val="19"/>
              </w:rPr>
              <w:t>35,805</w:t>
            </w:r>
          </w:p>
        </w:tc>
        <w:tc>
          <w:tcPr>
            <w:tcW w:w="1400" w:type="dxa"/>
            <w:tcMar>
              <w:top w:w="80" w:type="dxa"/>
              <w:left w:w="100" w:type="dxa"/>
              <w:bottom w:w="80" w:type="dxa"/>
              <w:right w:w="100" w:type="dxa"/>
            </w:tcMar>
          </w:tcPr>
          <w:p w14:paraId="3D2842EB" w14:textId="77777777" w:rsidR="00134DC3" w:rsidRDefault="00000000">
            <w:pPr>
              <w:jc w:val="center"/>
            </w:pPr>
            <w:r>
              <w:rPr>
                <w:sz w:val="19"/>
                <w:szCs w:val="19"/>
              </w:rPr>
              <w:t>11.6%</w:t>
            </w:r>
          </w:p>
        </w:tc>
        <w:tc>
          <w:tcPr>
            <w:tcW w:w="1000" w:type="dxa"/>
            <w:tcMar>
              <w:top w:w="80" w:type="dxa"/>
              <w:left w:w="100" w:type="dxa"/>
              <w:bottom w:w="80" w:type="dxa"/>
              <w:right w:w="100" w:type="dxa"/>
            </w:tcMar>
          </w:tcPr>
          <w:p w14:paraId="4C9C0238" w14:textId="77777777" w:rsidR="00134DC3" w:rsidRDefault="00000000">
            <w:pPr>
              <w:jc w:val="center"/>
            </w:pPr>
            <w:r>
              <w:rPr>
                <w:sz w:val="19"/>
                <w:szCs w:val="19"/>
              </w:rPr>
              <w:t>0.779</w:t>
            </w:r>
          </w:p>
        </w:tc>
        <w:tc>
          <w:tcPr>
            <w:tcW w:w="1100" w:type="dxa"/>
            <w:tcMar>
              <w:top w:w="80" w:type="dxa"/>
              <w:left w:w="100" w:type="dxa"/>
              <w:bottom w:w="80" w:type="dxa"/>
              <w:right w:w="100" w:type="dxa"/>
            </w:tcMar>
          </w:tcPr>
          <w:p w14:paraId="180DF7D0" w14:textId="77777777" w:rsidR="00134DC3" w:rsidRDefault="00000000">
            <w:pPr>
              <w:jc w:val="center"/>
            </w:pPr>
            <w:r>
              <w:rPr>
                <w:sz w:val="19"/>
                <w:szCs w:val="19"/>
              </w:rPr>
              <w:t>0.413</w:t>
            </w:r>
          </w:p>
        </w:tc>
        <w:tc>
          <w:tcPr>
            <w:tcW w:w="1200" w:type="dxa"/>
            <w:tcMar>
              <w:top w:w="80" w:type="dxa"/>
              <w:left w:w="100" w:type="dxa"/>
              <w:bottom w:w="80" w:type="dxa"/>
              <w:right w:w="100" w:type="dxa"/>
            </w:tcMar>
          </w:tcPr>
          <w:p w14:paraId="6AE89564" w14:textId="77777777" w:rsidR="00134DC3" w:rsidRDefault="00000000">
            <w:pPr>
              <w:jc w:val="center"/>
            </w:pPr>
            <w:r>
              <w:rPr>
                <w:sz w:val="19"/>
                <w:szCs w:val="19"/>
              </w:rPr>
              <w:t>0.413</w:t>
            </w:r>
          </w:p>
        </w:tc>
        <w:tc>
          <w:tcPr>
            <w:tcW w:w="1000" w:type="dxa"/>
            <w:tcMar>
              <w:top w:w="80" w:type="dxa"/>
              <w:left w:w="100" w:type="dxa"/>
              <w:bottom w:w="80" w:type="dxa"/>
              <w:right w:w="100" w:type="dxa"/>
            </w:tcMar>
          </w:tcPr>
          <w:p w14:paraId="77B80B52" w14:textId="77777777" w:rsidR="00134DC3" w:rsidRDefault="00000000">
            <w:pPr>
              <w:jc w:val="center"/>
            </w:pPr>
            <w:r>
              <w:rPr>
                <w:sz w:val="19"/>
                <w:szCs w:val="19"/>
              </w:rPr>
              <w:t>0.197</w:t>
            </w:r>
          </w:p>
        </w:tc>
      </w:tr>
    </w:tbl>
    <w:p w14:paraId="46D2A14C" w14:textId="77777777" w:rsidR="00134DC3" w:rsidRDefault="00000000" w:rsidP="00CD406F">
      <w:pPr>
        <w:spacing w:before="80" w:after="240"/>
        <w:jc w:val="both"/>
      </w:pPr>
      <w:r>
        <w:rPr>
          <w:i/>
          <w:iCs/>
          <w:sz w:val="19"/>
          <w:szCs w:val="19"/>
        </w:rPr>
        <w:t>Table 2. Model performance by race/ethnicity group, 2024 test year.</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000"/>
        <w:gridCol w:w="1100"/>
        <w:gridCol w:w="1200"/>
        <w:gridCol w:w="1000"/>
      </w:tblGrid>
      <w:tr w:rsidR="00134DC3" w14:paraId="5E8EE8EC"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tcPr>
          <w:p w14:paraId="1982CDDC" w14:textId="77777777" w:rsidR="00134DC3" w:rsidRDefault="00000000">
            <w:pPr>
              <w:jc w:val="center"/>
            </w:pPr>
            <w:r>
              <w:rPr>
                <w:b/>
                <w:bCs/>
                <w:sz w:val="19"/>
                <w:szCs w:val="19"/>
              </w:rPr>
              <w:t>Group</w:t>
            </w:r>
          </w:p>
        </w:tc>
        <w:tc>
          <w:tcPr>
            <w:tcW w:w="1400" w:type="dxa"/>
            <w:shd w:val="clear" w:color="auto" w:fill="D9D9D9"/>
            <w:tcMar>
              <w:top w:w="80" w:type="dxa"/>
              <w:left w:w="100" w:type="dxa"/>
              <w:bottom w:w="80" w:type="dxa"/>
              <w:right w:w="100" w:type="dxa"/>
            </w:tcMar>
          </w:tcPr>
          <w:p w14:paraId="4A201DF4" w14:textId="77777777" w:rsidR="00134DC3" w:rsidRDefault="00000000">
            <w:pPr>
              <w:jc w:val="center"/>
            </w:pPr>
            <w:r>
              <w:rPr>
                <w:b/>
                <w:bCs/>
                <w:sz w:val="19"/>
                <w:szCs w:val="19"/>
              </w:rPr>
              <w:t>n</w:t>
            </w:r>
          </w:p>
        </w:tc>
        <w:tc>
          <w:tcPr>
            <w:tcW w:w="1400" w:type="dxa"/>
            <w:shd w:val="clear" w:color="auto" w:fill="D9D9D9"/>
            <w:tcMar>
              <w:top w:w="80" w:type="dxa"/>
              <w:left w:w="100" w:type="dxa"/>
              <w:bottom w:w="80" w:type="dxa"/>
              <w:right w:w="100" w:type="dxa"/>
            </w:tcMar>
          </w:tcPr>
          <w:p w14:paraId="4D29F9D9" w14:textId="77777777" w:rsidR="00134DC3" w:rsidRDefault="00000000">
            <w:pPr>
              <w:jc w:val="center"/>
            </w:pPr>
            <w:r>
              <w:rPr>
                <w:b/>
                <w:bCs/>
                <w:sz w:val="19"/>
                <w:szCs w:val="19"/>
              </w:rPr>
              <w:t>Preterm rate</w:t>
            </w:r>
          </w:p>
        </w:tc>
        <w:tc>
          <w:tcPr>
            <w:tcW w:w="1000" w:type="dxa"/>
            <w:shd w:val="clear" w:color="auto" w:fill="D9D9D9"/>
            <w:tcMar>
              <w:top w:w="80" w:type="dxa"/>
              <w:left w:w="100" w:type="dxa"/>
              <w:bottom w:w="80" w:type="dxa"/>
              <w:right w:w="100" w:type="dxa"/>
            </w:tcMar>
          </w:tcPr>
          <w:p w14:paraId="5E62DC5C" w14:textId="77777777" w:rsidR="00134DC3" w:rsidRDefault="00000000">
            <w:pPr>
              <w:jc w:val="center"/>
            </w:pPr>
            <w:r>
              <w:rPr>
                <w:b/>
                <w:bCs/>
                <w:sz w:val="19"/>
                <w:szCs w:val="19"/>
              </w:rPr>
              <w:t>AUC</w:t>
            </w:r>
          </w:p>
        </w:tc>
        <w:tc>
          <w:tcPr>
            <w:tcW w:w="1100" w:type="dxa"/>
            <w:shd w:val="clear" w:color="auto" w:fill="D9D9D9"/>
            <w:tcMar>
              <w:top w:w="80" w:type="dxa"/>
              <w:left w:w="100" w:type="dxa"/>
              <w:bottom w:w="80" w:type="dxa"/>
              <w:right w:w="100" w:type="dxa"/>
            </w:tcMar>
          </w:tcPr>
          <w:p w14:paraId="11ACB028" w14:textId="77777777" w:rsidR="00134DC3" w:rsidRDefault="00000000">
            <w:pPr>
              <w:jc w:val="center"/>
            </w:pPr>
            <w:r>
              <w:rPr>
                <w:b/>
                <w:bCs/>
                <w:sz w:val="19"/>
                <w:szCs w:val="19"/>
              </w:rPr>
              <w:t>PR-AUC</w:t>
            </w:r>
          </w:p>
        </w:tc>
        <w:tc>
          <w:tcPr>
            <w:tcW w:w="1200" w:type="dxa"/>
            <w:shd w:val="clear" w:color="auto" w:fill="D9D9D9"/>
            <w:tcMar>
              <w:top w:w="80" w:type="dxa"/>
              <w:left w:w="100" w:type="dxa"/>
              <w:bottom w:w="80" w:type="dxa"/>
              <w:right w:w="100" w:type="dxa"/>
            </w:tcMar>
          </w:tcPr>
          <w:p w14:paraId="28EEB63D" w14:textId="77777777" w:rsidR="00134DC3" w:rsidRDefault="00000000">
            <w:pPr>
              <w:jc w:val="center"/>
            </w:pPr>
            <w:r>
              <w:rPr>
                <w:b/>
                <w:bCs/>
                <w:sz w:val="19"/>
                <w:szCs w:val="19"/>
              </w:rPr>
              <w:t>Preterm F1</w:t>
            </w:r>
          </w:p>
        </w:tc>
        <w:tc>
          <w:tcPr>
            <w:tcW w:w="1000" w:type="dxa"/>
            <w:shd w:val="clear" w:color="auto" w:fill="D9D9D9"/>
            <w:tcMar>
              <w:top w:w="80" w:type="dxa"/>
              <w:left w:w="100" w:type="dxa"/>
              <w:bottom w:w="80" w:type="dxa"/>
              <w:right w:w="100" w:type="dxa"/>
            </w:tcMar>
          </w:tcPr>
          <w:p w14:paraId="68D2157A" w14:textId="77777777" w:rsidR="00134DC3" w:rsidRDefault="00000000">
            <w:pPr>
              <w:jc w:val="center"/>
            </w:pPr>
            <w:r>
              <w:rPr>
                <w:b/>
                <w:bCs/>
                <w:sz w:val="19"/>
                <w:szCs w:val="19"/>
              </w:rPr>
              <w:t>Brier</w:t>
            </w:r>
          </w:p>
        </w:tc>
      </w:tr>
      <w:tr w:rsidR="00134DC3" w14:paraId="24EFD385" w14:textId="77777777">
        <w:tblPrEx>
          <w:tblCellMar>
            <w:top w:w="0" w:type="dxa"/>
            <w:bottom w:w="0" w:type="dxa"/>
          </w:tblCellMar>
        </w:tblPrEx>
        <w:tc>
          <w:tcPr>
            <w:tcW w:w="3000" w:type="dxa"/>
            <w:tcMar>
              <w:top w:w="80" w:type="dxa"/>
              <w:left w:w="100" w:type="dxa"/>
              <w:bottom w:w="80" w:type="dxa"/>
              <w:right w:w="100" w:type="dxa"/>
            </w:tcMar>
          </w:tcPr>
          <w:p w14:paraId="2B8A8C63" w14:textId="77777777" w:rsidR="00134DC3" w:rsidRDefault="00000000">
            <w:r>
              <w:rPr>
                <w:sz w:val="19"/>
                <w:szCs w:val="19"/>
              </w:rPr>
              <w:t>Under 20</w:t>
            </w:r>
          </w:p>
        </w:tc>
        <w:tc>
          <w:tcPr>
            <w:tcW w:w="1400" w:type="dxa"/>
            <w:tcMar>
              <w:top w:w="80" w:type="dxa"/>
              <w:left w:w="100" w:type="dxa"/>
              <w:bottom w:w="80" w:type="dxa"/>
              <w:right w:w="100" w:type="dxa"/>
            </w:tcMar>
          </w:tcPr>
          <w:p w14:paraId="7D3885F5" w14:textId="77777777" w:rsidR="00134DC3" w:rsidRDefault="00000000">
            <w:pPr>
              <w:jc w:val="center"/>
            </w:pPr>
            <w:r>
              <w:rPr>
                <w:sz w:val="19"/>
                <w:szCs w:val="19"/>
              </w:rPr>
              <w:t>139,228</w:t>
            </w:r>
          </w:p>
        </w:tc>
        <w:tc>
          <w:tcPr>
            <w:tcW w:w="1400" w:type="dxa"/>
            <w:tcMar>
              <w:top w:w="80" w:type="dxa"/>
              <w:left w:w="100" w:type="dxa"/>
              <w:bottom w:w="80" w:type="dxa"/>
              <w:right w:w="100" w:type="dxa"/>
            </w:tcMar>
          </w:tcPr>
          <w:p w14:paraId="7C77F998" w14:textId="77777777" w:rsidR="00134DC3" w:rsidRDefault="00000000">
            <w:pPr>
              <w:jc w:val="center"/>
            </w:pPr>
            <w:r>
              <w:rPr>
                <w:sz w:val="19"/>
                <w:szCs w:val="19"/>
              </w:rPr>
              <w:t>10.8%</w:t>
            </w:r>
          </w:p>
        </w:tc>
        <w:tc>
          <w:tcPr>
            <w:tcW w:w="1000" w:type="dxa"/>
            <w:tcMar>
              <w:top w:w="80" w:type="dxa"/>
              <w:left w:w="100" w:type="dxa"/>
              <w:bottom w:w="80" w:type="dxa"/>
              <w:right w:w="100" w:type="dxa"/>
            </w:tcMar>
          </w:tcPr>
          <w:p w14:paraId="21AF2425" w14:textId="77777777" w:rsidR="00134DC3" w:rsidRDefault="00000000">
            <w:pPr>
              <w:jc w:val="center"/>
            </w:pPr>
            <w:r>
              <w:rPr>
                <w:sz w:val="19"/>
                <w:szCs w:val="19"/>
              </w:rPr>
              <w:t>0.737</w:t>
            </w:r>
          </w:p>
        </w:tc>
        <w:tc>
          <w:tcPr>
            <w:tcW w:w="1100" w:type="dxa"/>
            <w:tcMar>
              <w:top w:w="80" w:type="dxa"/>
              <w:left w:w="100" w:type="dxa"/>
              <w:bottom w:w="80" w:type="dxa"/>
              <w:right w:w="100" w:type="dxa"/>
            </w:tcMar>
          </w:tcPr>
          <w:p w14:paraId="570A76E2" w14:textId="77777777" w:rsidR="00134DC3" w:rsidRDefault="00000000">
            <w:pPr>
              <w:jc w:val="center"/>
            </w:pPr>
            <w:r>
              <w:rPr>
                <w:sz w:val="19"/>
                <w:szCs w:val="19"/>
              </w:rPr>
              <w:t>0.352</w:t>
            </w:r>
          </w:p>
        </w:tc>
        <w:tc>
          <w:tcPr>
            <w:tcW w:w="1200" w:type="dxa"/>
            <w:tcMar>
              <w:top w:w="80" w:type="dxa"/>
              <w:left w:w="100" w:type="dxa"/>
              <w:bottom w:w="80" w:type="dxa"/>
              <w:right w:w="100" w:type="dxa"/>
            </w:tcMar>
          </w:tcPr>
          <w:p w14:paraId="477F94F7" w14:textId="77777777" w:rsidR="00134DC3" w:rsidRDefault="00000000">
            <w:pPr>
              <w:jc w:val="center"/>
            </w:pPr>
            <w:r>
              <w:rPr>
                <w:sz w:val="19"/>
                <w:szCs w:val="19"/>
              </w:rPr>
              <w:t>0.333</w:t>
            </w:r>
          </w:p>
        </w:tc>
        <w:tc>
          <w:tcPr>
            <w:tcW w:w="1000" w:type="dxa"/>
            <w:tcMar>
              <w:top w:w="80" w:type="dxa"/>
              <w:left w:w="100" w:type="dxa"/>
              <w:bottom w:w="80" w:type="dxa"/>
              <w:right w:w="100" w:type="dxa"/>
            </w:tcMar>
          </w:tcPr>
          <w:p w14:paraId="0482B1E8" w14:textId="77777777" w:rsidR="00134DC3" w:rsidRDefault="00000000">
            <w:pPr>
              <w:jc w:val="center"/>
            </w:pPr>
            <w:r>
              <w:rPr>
                <w:sz w:val="19"/>
                <w:szCs w:val="19"/>
              </w:rPr>
              <w:t>0.198</w:t>
            </w:r>
          </w:p>
        </w:tc>
      </w:tr>
      <w:tr w:rsidR="00134DC3" w14:paraId="1F3A80E7" w14:textId="77777777">
        <w:tblPrEx>
          <w:tblCellMar>
            <w:top w:w="0" w:type="dxa"/>
            <w:bottom w:w="0" w:type="dxa"/>
          </w:tblCellMar>
        </w:tblPrEx>
        <w:tc>
          <w:tcPr>
            <w:tcW w:w="3000" w:type="dxa"/>
            <w:tcMar>
              <w:top w:w="80" w:type="dxa"/>
              <w:left w:w="100" w:type="dxa"/>
              <w:bottom w:w="80" w:type="dxa"/>
              <w:right w:w="100" w:type="dxa"/>
            </w:tcMar>
          </w:tcPr>
          <w:p w14:paraId="1F925EAC" w14:textId="77777777" w:rsidR="00134DC3" w:rsidRDefault="00000000">
            <w:r>
              <w:rPr>
                <w:sz w:val="19"/>
                <w:szCs w:val="19"/>
              </w:rPr>
              <w:t>20–24</w:t>
            </w:r>
          </w:p>
        </w:tc>
        <w:tc>
          <w:tcPr>
            <w:tcW w:w="1400" w:type="dxa"/>
            <w:tcMar>
              <w:top w:w="80" w:type="dxa"/>
              <w:left w:w="100" w:type="dxa"/>
              <w:bottom w:w="80" w:type="dxa"/>
              <w:right w:w="100" w:type="dxa"/>
            </w:tcMar>
          </w:tcPr>
          <w:p w14:paraId="4D46BFA7" w14:textId="77777777" w:rsidR="00134DC3" w:rsidRDefault="00000000">
            <w:pPr>
              <w:jc w:val="center"/>
            </w:pPr>
            <w:r>
              <w:rPr>
                <w:sz w:val="19"/>
                <w:szCs w:val="19"/>
              </w:rPr>
              <w:t>612,816</w:t>
            </w:r>
          </w:p>
        </w:tc>
        <w:tc>
          <w:tcPr>
            <w:tcW w:w="1400" w:type="dxa"/>
            <w:tcMar>
              <w:top w:w="80" w:type="dxa"/>
              <w:left w:w="100" w:type="dxa"/>
              <w:bottom w:w="80" w:type="dxa"/>
              <w:right w:w="100" w:type="dxa"/>
            </w:tcMar>
          </w:tcPr>
          <w:p w14:paraId="2E335B56" w14:textId="77777777" w:rsidR="00134DC3" w:rsidRDefault="00000000">
            <w:pPr>
              <w:jc w:val="center"/>
            </w:pPr>
            <w:r>
              <w:rPr>
                <w:sz w:val="19"/>
                <w:szCs w:val="19"/>
              </w:rPr>
              <w:t>9.8%</w:t>
            </w:r>
          </w:p>
        </w:tc>
        <w:tc>
          <w:tcPr>
            <w:tcW w:w="1000" w:type="dxa"/>
            <w:tcMar>
              <w:top w:w="80" w:type="dxa"/>
              <w:left w:w="100" w:type="dxa"/>
              <w:bottom w:w="80" w:type="dxa"/>
              <w:right w:w="100" w:type="dxa"/>
            </w:tcMar>
          </w:tcPr>
          <w:p w14:paraId="0343BAC7" w14:textId="77777777" w:rsidR="00134DC3" w:rsidRDefault="00000000">
            <w:pPr>
              <w:jc w:val="center"/>
            </w:pPr>
            <w:r>
              <w:rPr>
                <w:sz w:val="19"/>
                <w:szCs w:val="19"/>
              </w:rPr>
              <w:t>0.750</w:t>
            </w:r>
          </w:p>
        </w:tc>
        <w:tc>
          <w:tcPr>
            <w:tcW w:w="1100" w:type="dxa"/>
            <w:tcMar>
              <w:top w:w="80" w:type="dxa"/>
              <w:left w:w="100" w:type="dxa"/>
              <w:bottom w:w="80" w:type="dxa"/>
              <w:right w:w="100" w:type="dxa"/>
            </w:tcMar>
          </w:tcPr>
          <w:p w14:paraId="5861112D" w14:textId="77777777" w:rsidR="00134DC3" w:rsidRDefault="00000000">
            <w:pPr>
              <w:jc w:val="center"/>
            </w:pPr>
            <w:r>
              <w:rPr>
                <w:sz w:val="19"/>
                <w:szCs w:val="19"/>
              </w:rPr>
              <w:t>0.359</w:t>
            </w:r>
          </w:p>
        </w:tc>
        <w:tc>
          <w:tcPr>
            <w:tcW w:w="1200" w:type="dxa"/>
            <w:tcMar>
              <w:top w:w="80" w:type="dxa"/>
              <w:left w:w="100" w:type="dxa"/>
              <w:bottom w:w="80" w:type="dxa"/>
              <w:right w:w="100" w:type="dxa"/>
            </w:tcMar>
          </w:tcPr>
          <w:p w14:paraId="1EDCBDA0" w14:textId="77777777" w:rsidR="00134DC3" w:rsidRDefault="00000000">
            <w:pPr>
              <w:jc w:val="center"/>
            </w:pPr>
            <w:r>
              <w:rPr>
                <w:sz w:val="19"/>
                <w:szCs w:val="19"/>
              </w:rPr>
              <w:t>0.352</w:t>
            </w:r>
          </w:p>
        </w:tc>
        <w:tc>
          <w:tcPr>
            <w:tcW w:w="1000" w:type="dxa"/>
            <w:tcMar>
              <w:top w:w="80" w:type="dxa"/>
              <w:left w:w="100" w:type="dxa"/>
              <w:bottom w:w="80" w:type="dxa"/>
              <w:right w:w="100" w:type="dxa"/>
            </w:tcMar>
          </w:tcPr>
          <w:p w14:paraId="1563582D" w14:textId="77777777" w:rsidR="00134DC3" w:rsidRDefault="00000000">
            <w:pPr>
              <w:jc w:val="center"/>
            </w:pPr>
            <w:r>
              <w:rPr>
                <w:sz w:val="19"/>
                <w:szCs w:val="19"/>
              </w:rPr>
              <w:t>0.182</w:t>
            </w:r>
          </w:p>
        </w:tc>
      </w:tr>
      <w:tr w:rsidR="00134DC3" w14:paraId="0230D3DC" w14:textId="77777777">
        <w:tblPrEx>
          <w:tblCellMar>
            <w:top w:w="0" w:type="dxa"/>
            <w:bottom w:w="0" w:type="dxa"/>
          </w:tblCellMar>
        </w:tblPrEx>
        <w:tc>
          <w:tcPr>
            <w:tcW w:w="3000" w:type="dxa"/>
            <w:tcMar>
              <w:top w:w="80" w:type="dxa"/>
              <w:left w:w="100" w:type="dxa"/>
              <w:bottom w:w="80" w:type="dxa"/>
              <w:right w:w="100" w:type="dxa"/>
            </w:tcMar>
          </w:tcPr>
          <w:p w14:paraId="226FED7E" w14:textId="77777777" w:rsidR="00134DC3" w:rsidRDefault="00000000">
            <w:r>
              <w:rPr>
                <w:sz w:val="19"/>
                <w:szCs w:val="19"/>
              </w:rPr>
              <w:t>25–29</w:t>
            </w:r>
          </w:p>
        </w:tc>
        <w:tc>
          <w:tcPr>
            <w:tcW w:w="1400" w:type="dxa"/>
            <w:tcMar>
              <w:top w:w="80" w:type="dxa"/>
              <w:left w:w="100" w:type="dxa"/>
              <w:bottom w:w="80" w:type="dxa"/>
              <w:right w:w="100" w:type="dxa"/>
            </w:tcMar>
          </w:tcPr>
          <w:p w14:paraId="3AF6D0DE" w14:textId="77777777" w:rsidR="00134DC3" w:rsidRDefault="00000000">
            <w:pPr>
              <w:jc w:val="center"/>
            </w:pPr>
            <w:r>
              <w:rPr>
                <w:sz w:val="19"/>
                <w:szCs w:val="19"/>
              </w:rPr>
              <w:t>993,458</w:t>
            </w:r>
          </w:p>
        </w:tc>
        <w:tc>
          <w:tcPr>
            <w:tcW w:w="1400" w:type="dxa"/>
            <w:tcMar>
              <w:top w:w="80" w:type="dxa"/>
              <w:left w:w="100" w:type="dxa"/>
              <w:bottom w:w="80" w:type="dxa"/>
              <w:right w:w="100" w:type="dxa"/>
            </w:tcMar>
          </w:tcPr>
          <w:p w14:paraId="29B7A32D" w14:textId="77777777" w:rsidR="00134DC3" w:rsidRDefault="00000000">
            <w:pPr>
              <w:jc w:val="center"/>
            </w:pPr>
            <w:r>
              <w:rPr>
                <w:sz w:val="19"/>
                <w:szCs w:val="19"/>
              </w:rPr>
              <w:t>9.7%</w:t>
            </w:r>
          </w:p>
        </w:tc>
        <w:tc>
          <w:tcPr>
            <w:tcW w:w="1000" w:type="dxa"/>
            <w:tcMar>
              <w:top w:w="80" w:type="dxa"/>
              <w:left w:w="100" w:type="dxa"/>
              <w:bottom w:w="80" w:type="dxa"/>
              <w:right w:w="100" w:type="dxa"/>
            </w:tcMar>
          </w:tcPr>
          <w:p w14:paraId="04FBB69D" w14:textId="77777777" w:rsidR="00134DC3" w:rsidRDefault="00000000">
            <w:pPr>
              <w:jc w:val="center"/>
            </w:pPr>
            <w:r>
              <w:rPr>
                <w:sz w:val="19"/>
                <w:szCs w:val="19"/>
              </w:rPr>
              <w:t>0.765</w:t>
            </w:r>
          </w:p>
        </w:tc>
        <w:tc>
          <w:tcPr>
            <w:tcW w:w="1100" w:type="dxa"/>
            <w:tcMar>
              <w:top w:w="80" w:type="dxa"/>
              <w:left w:w="100" w:type="dxa"/>
              <w:bottom w:w="80" w:type="dxa"/>
              <w:right w:w="100" w:type="dxa"/>
            </w:tcMar>
          </w:tcPr>
          <w:p w14:paraId="47996087" w14:textId="77777777" w:rsidR="00134DC3" w:rsidRDefault="00000000">
            <w:pPr>
              <w:jc w:val="center"/>
            </w:pPr>
            <w:r>
              <w:rPr>
                <w:sz w:val="19"/>
                <w:szCs w:val="19"/>
              </w:rPr>
              <w:t>0.373</w:t>
            </w:r>
          </w:p>
        </w:tc>
        <w:tc>
          <w:tcPr>
            <w:tcW w:w="1200" w:type="dxa"/>
            <w:tcMar>
              <w:top w:w="80" w:type="dxa"/>
              <w:left w:w="100" w:type="dxa"/>
              <w:bottom w:w="80" w:type="dxa"/>
              <w:right w:w="100" w:type="dxa"/>
            </w:tcMar>
          </w:tcPr>
          <w:p w14:paraId="6218FD6C" w14:textId="77777777" w:rsidR="00134DC3" w:rsidRDefault="00000000">
            <w:pPr>
              <w:jc w:val="center"/>
            </w:pPr>
            <w:r>
              <w:rPr>
                <w:sz w:val="19"/>
                <w:szCs w:val="19"/>
              </w:rPr>
              <w:t>0.377</w:t>
            </w:r>
          </w:p>
        </w:tc>
        <w:tc>
          <w:tcPr>
            <w:tcW w:w="1000" w:type="dxa"/>
            <w:tcMar>
              <w:top w:w="80" w:type="dxa"/>
              <w:left w:w="100" w:type="dxa"/>
              <w:bottom w:w="80" w:type="dxa"/>
              <w:right w:w="100" w:type="dxa"/>
            </w:tcMar>
          </w:tcPr>
          <w:p w14:paraId="73BF0507" w14:textId="77777777" w:rsidR="00134DC3" w:rsidRDefault="00000000">
            <w:pPr>
              <w:jc w:val="center"/>
            </w:pPr>
            <w:r>
              <w:rPr>
                <w:sz w:val="19"/>
                <w:szCs w:val="19"/>
              </w:rPr>
              <w:t>0.175</w:t>
            </w:r>
          </w:p>
        </w:tc>
      </w:tr>
      <w:tr w:rsidR="00134DC3" w14:paraId="0E82C9DF" w14:textId="77777777">
        <w:tblPrEx>
          <w:tblCellMar>
            <w:top w:w="0" w:type="dxa"/>
            <w:bottom w:w="0" w:type="dxa"/>
          </w:tblCellMar>
        </w:tblPrEx>
        <w:tc>
          <w:tcPr>
            <w:tcW w:w="3000" w:type="dxa"/>
            <w:tcMar>
              <w:top w:w="80" w:type="dxa"/>
              <w:left w:w="100" w:type="dxa"/>
              <w:bottom w:w="80" w:type="dxa"/>
              <w:right w:w="100" w:type="dxa"/>
            </w:tcMar>
          </w:tcPr>
          <w:p w14:paraId="263C4B35" w14:textId="77777777" w:rsidR="00134DC3" w:rsidRDefault="00000000">
            <w:r>
              <w:rPr>
                <w:sz w:val="19"/>
                <w:szCs w:val="19"/>
              </w:rPr>
              <w:t>30–34</w:t>
            </w:r>
          </w:p>
        </w:tc>
        <w:tc>
          <w:tcPr>
            <w:tcW w:w="1400" w:type="dxa"/>
            <w:tcMar>
              <w:top w:w="80" w:type="dxa"/>
              <w:left w:w="100" w:type="dxa"/>
              <w:bottom w:w="80" w:type="dxa"/>
              <w:right w:w="100" w:type="dxa"/>
            </w:tcMar>
          </w:tcPr>
          <w:p w14:paraId="721DF124" w14:textId="77777777" w:rsidR="00134DC3" w:rsidRDefault="00000000">
            <w:pPr>
              <w:jc w:val="center"/>
            </w:pPr>
            <w:r>
              <w:rPr>
                <w:sz w:val="19"/>
                <w:szCs w:val="19"/>
              </w:rPr>
              <w:t>1,115,685</w:t>
            </w:r>
          </w:p>
        </w:tc>
        <w:tc>
          <w:tcPr>
            <w:tcW w:w="1400" w:type="dxa"/>
            <w:tcMar>
              <w:top w:w="80" w:type="dxa"/>
              <w:left w:w="100" w:type="dxa"/>
              <w:bottom w:w="80" w:type="dxa"/>
              <w:right w:w="100" w:type="dxa"/>
            </w:tcMar>
          </w:tcPr>
          <w:p w14:paraId="01B8EE77" w14:textId="77777777" w:rsidR="00134DC3" w:rsidRDefault="00000000">
            <w:pPr>
              <w:jc w:val="center"/>
            </w:pPr>
            <w:r>
              <w:rPr>
                <w:sz w:val="19"/>
                <w:szCs w:val="19"/>
              </w:rPr>
              <w:t>10.1%</w:t>
            </w:r>
          </w:p>
        </w:tc>
        <w:tc>
          <w:tcPr>
            <w:tcW w:w="1000" w:type="dxa"/>
            <w:tcMar>
              <w:top w:w="80" w:type="dxa"/>
              <w:left w:w="100" w:type="dxa"/>
              <w:bottom w:w="80" w:type="dxa"/>
              <w:right w:w="100" w:type="dxa"/>
            </w:tcMar>
          </w:tcPr>
          <w:p w14:paraId="2EA0EC6D" w14:textId="77777777" w:rsidR="00134DC3" w:rsidRDefault="00000000">
            <w:pPr>
              <w:jc w:val="center"/>
            </w:pPr>
            <w:r>
              <w:rPr>
                <w:sz w:val="19"/>
                <w:szCs w:val="19"/>
              </w:rPr>
              <w:t>0.770</w:t>
            </w:r>
          </w:p>
        </w:tc>
        <w:tc>
          <w:tcPr>
            <w:tcW w:w="1100" w:type="dxa"/>
            <w:tcMar>
              <w:top w:w="80" w:type="dxa"/>
              <w:left w:w="100" w:type="dxa"/>
              <w:bottom w:w="80" w:type="dxa"/>
              <w:right w:w="100" w:type="dxa"/>
            </w:tcMar>
          </w:tcPr>
          <w:p w14:paraId="6E9AD6FB" w14:textId="77777777" w:rsidR="00134DC3" w:rsidRDefault="00000000">
            <w:pPr>
              <w:jc w:val="center"/>
            </w:pPr>
            <w:r>
              <w:rPr>
                <w:sz w:val="19"/>
                <w:szCs w:val="19"/>
              </w:rPr>
              <w:t>0.381</w:t>
            </w:r>
          </w:p>
        </w:tc>
        <w:tc>
          <w:tcPr>
            <w:tcW w:w="1200" w:type="dxa"/>
            <w:tcMar>
              <w:top w:w="80" w:type="dxa"/>
              <w:left w:w="100" w:type="dxa"/>
              <w:bottom w:w="80" w:type="dxa"/>
              <w:right w:w="100" w:type="dxa"/>
            </w:tcMar>
          </w:tcPr>
          <w:p w14:paraId="453653AB" w14:textId="77777777" w:rsidR="00134DC3" w:rsidRDefault="00000000">
            <w:pPr>
              <w:jc w:val="center"/>
            </w:pPr>
            <w:r>
              <w:rPr>
                <w:sz w:val="19"/>
                <w:szCs w:val="19"/>
              </w:rPr>
              <w:t>0.389</w:t>
            </w:r>
          </w:p>
        </w:tc>
        <w:tc>
          <w:tcPr>
            <w:tcW w:w="1000" w:type="dxa"/>
            <w:tcMar>
              <w:top w:w="80" w:type="dxa"/>
              <w:left w:w="100" w:type="dxa"/>
              <w:bottom w:w="80" w:type="dxa"/>
              <w:right w:w="100" w:type="dxa"/>
            </w:tcMar>
          </w:tcPr>
          <w:p w14:paraId="5034A3F5" w14:textId="77777777" w:rsidR="00134DC3" w:rsidRDefault="00000000">
            <w:pPr>
              <w:jc w:val="center"/>
            </w:pPr>
            <w:r>
              <w:rPr>
                <w:sz w:val="19"/>
                <w:szCs w:val="19"/>
              </w:rPr>
              <w:t>0.179</w:t>
            </w:r>
          </w:p>
        </w:tc>
      </w:tr>
      <w:tr w:rsidR="00134DC3" w14:paraId="0FABFA1C" w14:textId="77777777">
        <w:tblPrEx>
          <w:tblCellMar>
            <w:top w:w="0" w:type="dxa"/>
            <w:bottom w:w="0" w:type="dxa"/>
          </w:tblCellMar>
        </w:tblPrEx>
        <w:tc>
          <w:tcPr>
            <w:tcW w:w="3000" w:type="dxa"/>
            <w:tcMar>
              <w:top w:w="80" w:type="dxa"/>
              <w:left w:w="100" w:type="dxa"/>
              <w:bottom w:w="80" w:type="dxa"/>
              <w:right w:w="100" w:type="dxa"/>
            </w:tcMar>
          </w:tcPr>
          <w:p w14:paraId="4A8717A6" w14:textId="77777777" w:rsidR="00134DC3" w:rsidRDefault="00000000">
            <w:r>
              <w:rPr>
                <w:sz w:val="19"/>
                <w:szCs w:val="19"/>
              </w:rPr>
              <w:t>35–39</w:t>
            </w:r>
          </w:p>
        </w:tc>
        <w:tc>
          <w:tcPr>
            <w:tcW w:w="1400" w:type="dxa"/>
            <w:tcMar>
              <w:top w:w="80" w:type="dxa"/>
              <w:left w:w="100" w:type="dxa"/>
              <w:bottom w:w="80" w:type="dxa"/>
              <w:right w:w="100" w:type="dxa"/>
            </w:tcMar>
          </w:tcPr>
          <w:p w14:paraId="3BA31884" w14:textId="77777777" w:rsidR="00134DC3" w:rsidRDefault="00000000">
            <w:pPr>
              <w:jc w:val="center"/>
            </w:pPr>
            <w:r>
              <w:rPr>
                <w:sz w:val="19"/>
                <w:szCs w:val="19"/>
              </w:rPr>
              <w:t>624,328</w:t>
            </w:r>
          </w:p>
        </w:tc>
        <w:tc>
          <w:tcPr>
            <w:tcW w:w="1400" w:type="dxa"/>
            <w:tcMar>
              <w:top w:w="80" w:type="dxa"/>
              <w:left w:w="100" w:type="dxa"/>
              <w:bottom w:w="80" w:type="dxa"/>
              <w:right w:w="100" w:type="dxa"/>
            </w:tcMar>
          </w:tcPr>
          <w:p w14:paraId="7AF0584A" w14:textId="77777777" w:rsidR="00134DC3" w:rsidRDefault="00000000">
            <w:pPr>
              <w:jc w:val="center"/>
            </w:pPr>
            <w:r>
              <w:rPr>
                <w:sz w:val="19"/>
                <w:szCs w:val="19"/>
              </w:rPr>
              <w:t>11.6%</w:t>
            </w:r>
          </w:p>
        </w:tc>
        <w:tc>
          <w:tcPr>
            <w:tcW w:w="1000" w:type="dxa"/>
            <w:tcMar>
              <w:top w:w="80" w:type="dxa"/>
              <w:left w:w="100" w:type="dxa"/>
              <w:bottom w:w="80" w:type="dxa"/>
              <w:right w:w="100" w:type="dxa"/>
            </w:tcMar>
          </w:tcPr>
          <w:p w14:paraId="71781500" w14:textId="77777777" w:rsidR="00134DC3" w:rsidRDefault="00000000">
            <w:pPr>
              <w:jc w:val="center"/>
            </w:pPr>
            <w:r>
              <w:rPr>
                <w:sz w:val="19"/>
                <w:szCs w:val="19"/>
              </w:rPr>
              <w:t>0.765</w:t>
            </w:r>
          </w:p>
        </w:tc>
        <w:tc>
          <w:tcPr>
            <w:tcW w:w="1100" w:type="dxa"/>
            <w:tcMar>
              <w:top w:w="80" w:type="dxa"/>
              <w:left w:w="100" w:type="dxa"/>
              <w:bottom w:w="80" w:type="dxa"/>
              <w:right w:w="100" w:type="dxa"/>
            </w:tcMar>
          </w:tcPr>
          <w:p w14:paraId="26CAA699" w14:textId="77777777" w:rsidR="00134DC3" w:rsidRDefault="00000000">
            <w:pPr>
              <w:jc w:val="center"/>
            </w:pPr>
            <w:r>
              <w:rPr>
                <w:sz w:val="19"/>
                <w:szCs w:val="19"/>
              </w:rPr>
              <w:t>0.393</w:t>
            </w:r>
          </w:p>
        </w:tc>
        <w:tc>
          <w:tcPr>
            <w:tcW w:w="1200" w:type="dxa"/>
            <w:tcMar>
              <w:top w:w="80" w:type="dxa"/>
              <w:left w:w="100" w:type="dxa"/>
              <w:bottom w:w="80" w:type="dxa"/>
              <w:right w:w="100" w:type="dxa"/>
            </w:tcMar>
          </w:tcPr>
          <w:p w14:paraId="47661053" w14:textId="77777777" w:rsidR="00134DC3" w:rsidRDefault="00000000">
            <w:pPr>
              <w:jc w:val="center"/>
            </w:pPr>
            <w:r>
              <w:rPr>
                <w:sz w:val="19"/>
                <w:szCs w:val="19"/>
              </w:rPr>
              <w:t>0.398</w:t>
            </w:r>
          </w:p>
        </w:tc>
        <w:tc>
          <w:tcPr>
            <w:tcW w:w="1000" w:type="dxa"/>
            <w:tcMar>
              <w:top w:w="80" w:type="dxa"/>
              <w:left w:w="100" w:type="dxa"/>
              <w:bottom w:w="80" w:type="dxa"/>
              <w:right w:w="100" w:type="dxa"/>
            </w:tcMar>
          </w:tcPr>
          <w:p w14:paraId="318D2AB4" w14:textId="77777777" w:rsidR="00134DC3" w:rsidRDefault="00000000">
            <w:pPr>
              <w:jc w:val="center"/>
            </w:pPr>
            <w:r>
              <w:rPr>
                <w:sz w:val="19"/>
                <w:szCs w:val="19"/>
              </w:rPr>
              <w:t>0.203</w:t>
            </w:r>
          </w:p>
        </w:tc>
      </w:tr>
      <w:tr w:rsidR="00134DC3" w14:paraId="0E53F3B8" w14:textId="77777777">
        <w:tblPrEx>
          <w:tblCellMar>
            <w:top w:w="0" w:type="dxa"/>
            <w:bottom w:w="0" w:type="dxa"/>
          </w:tblCellMar>
        </w:tblPrEx>
        <w:tc>
          <w:tcPr>
            <w:tcW w:w="3000" w:type="dxa"/>
            <w:tcMar>
              <w:top w:w="80" w:type="dxa"/>
              <w:left w:w="100" w:type="dxa"/>
              <w:bottom w:w="80" w:type="dxa"/>
              <w:right w:w="100" w:type="dxa"/>
            </w:tcMar>
          </w:tcPr>
          <w:p w14:paraId="53A6B8EC" w14:textId="77777777" w:rsidR="00134DC3" w:rsidRDefault="00000000">
            <w:r>
              <w:rPr>
                <w:sz w:val="19"/>
                <w:szCs w:val="19"/>
              </w:rPr>
              <w:t>40+</w:t>
            </w:r>
          </w:p>
        </w:tc>
        <w:tc>
          <w:tcPr>
            <w:tcW w:w="1400" w:type="dxa"/>
            <w:tcMar>
              <w:top w:w="80" w:type="dxa"/>
              <w:left w:w="100" w:type="dxa"/>
              <w:bottom w:w="80" w:type="dxa"/>
              <w:right w:w="100" w:type="dxa"/>
            </w:tcMar>
          </w:tcPr>
          <w:p w14:paraId="3E110AC7" w14:textId="77777777" w:rsidR="00134DC3" w:rsidRDefault="00000000">
            <w:pPr>
              <w:jc w:val="center"/>
            </w:pPr>
            <w:r>
              <w:rPr>
                <w:sz w:val="19"/>
                <w:szCs w:val="19"/>
              </w:rPr>
              <w:t>152,921</w:t>
            </w:r>
          </w:p>
        </w:tc>
        <w:tc>
          <w:tcPr>
            <w:tcW w:w="1400" w:type="dxa"/>
            <w:tcMar>
              <w:top w:w="80" w:type="dxa"/>
              <w:left w:w="100" w:type="dxa"/>
              <w:bottom w:w="80" w:type="dxa"/>
              <w:right w:w="100" w:type="dxa"/>
            </w:tcMar>
          </w:tcPr>
          <w:p w14:paraId="2ED7545A" w14:textId="77777777" w:rsidR="00134DC3" w:rsidRDefault="00000000">
            <w:pPr>
              <w:jc w:val="center"/>
            </w:pPr>
            <w:r>
              <w:rPr>
                <w:sz w:val="19"/>
                <w:szCs w:val="19"/>
              </w:rPr>
              <w:t>14.6%</w:t>
            </w:r>
          </w:p>
        </w:tc>
        <w:tc>
          <w:tcPr>
            <w:tcW w:w="1000" w:type="dxa"/>
            <w:tcMar>
              <w:top w:w="80" w:type="dxa"/>
              <w:left w:w="100" w:type="dxa"/>
              <w:bottom w:w="80" w:type="dxa"/>
              <w:right w:w="100" w:type="dxa"/>
            </w:tcMar>
          </w:tcPr>
          <w:p w14:paraId="15CBD54B" w14:textId="77777777" w:rsidR="00134DC3" w:rsidRDefault="00000000">
            <w:pPr>
              <w:jc w:val="center"/>
            </w:pPr>
            <w:r>
              <w:rPr>
                <w:sz w:val="19"/>
                <w:szCs w:val="19"/>
              </w:rPr>
              <w:t>0.749</w:t>
            </w:r>
          </w:p>
        </w:tc>
        <w:tc>
          <w:tcPr>
            <w:tcW w:w="1100" w:type="dxa"/>
            <w:tcMar>
              <w:top w:w="80" w:type="dxa"/>
              <w:left w:w="100" w:type="dxa"/>
              <w:bottom w:w="80" w:type="dxa"/>
              <w:right w:w="100" w:type="dxa"/>
            </w:tcMar>
          </w:tcPr>
          <w:p w14:paraId="47C2547E" w14:textId="77777777" w:rsidR="00134DC3" w:rsidRDefault="00000000">
            <w:pPr>
              <w:jc w:val="center"/>
            </w:pPr>
            <w:r>
              <w:rPr>
                <w:sz w:val="19"/>
                <w:szCs w:val="19"/>
              </w:rPr>
              <w:t>0.416</w:t>
            </w:r>
          </w:p>
        </w:tc>
        <w:tc>
          <w:tcPr>
            <w:tcW w:w="1200" w:type="dxa"/>
            <w:tcMar>
              <w:top w:w="80" w:type="dxa"/>
              <w:left w:w="100" w:type="dxa"/>
              <w:bottom w:w="80" w:type="dxa"/>
              <w:right w:w="100" w:type="dxa"/>
            </w:tcMar>
          </w:tcPr>
          <w:p w14:paraId="05305319" w14:textId="77777777" w:rsidR="00134DC3" w:rsidRDefault="00000000">
            <w:pPr>
              <w:jc w:val="center"/>
            </w:pPr>
            <w:r>
              <w:rPr>
                <w:sz w:val="19"/>
                <w:szCs w:val="19"/>
              </w:rPr>
              <w:t>0.407</w:t>
            </w:r>
          </w:p>
        </w:tc>
        <w:tc>
          <w:tcPr>
            <w:tcW w:w="1000" w:type="dxa"/>
            <w:tcMar>
              <w:top w:w="80" w:type="dxa"/>
              <w:left w:w="100" w:type="dxa"/>
              <w:bottom w:w="80" w:type="dxa"/>
              <w:right w:w="100" w:type="dxa"/>
            </w:tcMar>
          </w:tcPr>
          <w:p w14:paraId="29F09A15" w14:textId="77777777" w:rsidR="00134DC3" w:rsidRDefault="00000000">
            <w:pPr>
              <w:jc w:val="center"/>
            </w:pPr>
            <w:r>
              <w:rPr>
                <w:sz w:val="19"/>
                <w:szCs w:val="19"/>
              </w:rPr>
              <w:t>0.244</w:t>
            </w:r>
          </w:p>
        </w:tc>
      </w:tr>
    </w:tbl>
    <w:p w14:paraId="45B99663" w14:textId="77777777" w:rsidR="00134DC3" w:rsidRDefault="00000000" w:rsidP="00CD406F">
      <w:pPr>
        <w:spacing w:before="80" w:after="240"/>
        <w:jc w:val="both"/>
      </w:pPr>
      <w:r>
        <w:rPr>
          <w:i/>
          <w:iCs/>
          <w:sz w:val="19"/>
          <w:szCs w:val="19"/>
        </w:rPr>
        <w:t>Table 3. Model performance by maternal age group, 2024 test year.</w:t>
      </w:r>
    </w:p>
    <w:p w14:paraId="7BCB24CF" w14:textId="77777777" w:rsidR="00134DC3" w:rsidRDefault="00000000" w:rsidP="00CD406F">
      <w:pPr>
        <w:spacing w:after="200" w:line="300" w:lineRule="auto"/>
        <w:jc w:val="both"/>
      </w:pPr>
      <w:r>
        <w:t>Discrimination is reasonably stable across both tables relative to the aggregate AUC of 0.764 (Section 3.1): named race/ethnicity groups span 0.740–0.772 and age groups span 0.737–0.770, with the largest single gap from the aggregate about 0.027. No group's ranking performance collapses relative to the others, at the level of granularity this data source supports. The underlying preterm rate, by contrast, is unevenly distributed in a pattern consistent with documented national disparities: Non-Hispanic Black birthing people have the highest rate of any group (14.8%), about 1.6 times the Non-Hispanic White rate (9.5%) in this test year, directionally consistent with, and somewhat larger than, the approximately 1.4x national disparity reported by March of Dimes for the same period. Maternal age follows a U-shaped pattern, with elevated rates at both the youngest (under 20, 10.8%) and oldest (40+, 14.6%) groups relative to the 25–34 range (9.7–10.1%), matching the documented clinical age-risk curve for preterm birth. PR-AUC and Preterm F1 are highest for the same higher-prevalence groups (Non-Hispanic Black, and the 40+ age group); because both metrics are sensitive to the positive-class base rate by construction, this pattern is at least partly mechanical rather than evidence of differentially better discrimination, and AUC — which does not depend on prevalence — is the fairer basis for cross-group comparison. Brier score is elevated for every subgroup relative to what perfect calibration would achieve, consistent with the aggregate finding in Section 3.6, and is highest for the higher-prevalence groups; because a subgroup's achievable Brier score depends in part on its own base rate, this pattern alone does not establish that miscalibration is worse for any specific group, and a per-group calibration slope and intercept — which would be needed to separate those two effects — was not computed in this analysis (Section 5).</w:t>
      </w:r>
    </w:p>
    <w:p w14:paraId="3B501907" w14:textId="77777777" w:rsidR="00134DC3" w:rsidRDefault="00000000" w:rsidP="00CD406F">
      <w:pPr>
        <w:pStyle w:val="Heading1"/>
        <w:spacing w:before="360" w:after="160"/>
        <w:jc w:val="both"/>
      </w:pPr>
      <w:r>
        <w:rPr>
          <w:b/>
          <w:bCs/>
          <w:color w:val="1F3864"/>
          <w:sz w:val="28"/>
          <w:szCs w:val="28"/>
        </w:rPr>
        <w:lastRenderedPageBreak/>
        <w:t>4. Discussion</w:t>
      </w:r>
    </w:p>
    <w:p w14:paraId="0ADCF6E4" w14:textId="77777777" w:rsidR="00134DC3" w:rsidRDefault="00000000" w:rsidP="00CD406F">
      <w:pPr>
        <w:spacing w:after="200" w:line="300" w:lineRule="auto"/>
        <w:jc w:val="both"/>
      </w:pPr>
      <w:r>
        <w:t xml:space="preserve">This study set out to build a preterm-birth early-warning model from the same category of data used in prior published work — nationally representative U.S. birth-certificate records — and, in the process of doing so, identified a confound that materially affects how such models’ performance should be interpreted and compared across studies. The corrected, </w:t>
      </w:r>
      <w:proofErr w:type="spellStart"/>
      <w:proofErr w:type="gramStart"/>
      <w:r>
        <w:t>previs</w:t>
      </w:r>
      <w:proofErr w:type="spellEnd"/>
      <w:r>
        <w:t>-excluded</w:t>
      </w:r>
      <w:proofErr w:type="gramEnd"/>
      <w:r>
        <w:t xml:space="preserve"> model (AUC 0.764) is close to, and nominally above, the closest directly comparable published result (</w:t>
      </w:r>
      <w:proofErr w:type="spellStart"/>
      <w:r>
        <w:t>Ebrahimvandi</w:t>
      </w:r>
      <w:proofErr w:type="spellEnd"/>
      <w:r>
        <w:t xml:space="preserve">, </w:t>
      </w:r>
      <w:proofErr w:type="spellStart"/>
      <w:r>
        <w:t>Hosseinichimeh</w:t>
      </w:r>
      <w:proofErr w:type="spellEnd"/>
      <w:r>
        <w:t>, &amp; Kong, 2022; AUC 0.756). Because the two estimates come from different studies, different samples, and different years, with no shared test set or published variance estimate for the comparator, this roughly 0.008 point-estimate difference cannot be tested for statistical significance and is not presented as evidence that this model outperforms the published one. What the comparison does support is that comparable performance was achieved on a more defensible basis: the leading predictors in the published model — hypertension, interpregnancy interval, prior preterm birth, parental education, and body-mass index — are themselves genuine antecedent risk factors rather than an analogous outcome-adjacent proxy, and this study additionally applies a strict chronological external validation design, more recent data, and explicit missingness handling that the published benchmark does not report.</w:t>
      </w:r>
    </w:p>
    <w:p w14:paraId="59F83808" w14:textId="77777777" w:rsidR="00134DC3" w:rsidRDefault="00000000" w:rsidP="00CD406F">
      <w:pPr>
        <w:spacing w:after="200" w:line="300" w:lineRule="auto"/>
        <w:jc w:val="both"/>
      </w:pPr>
      <w:r>
        <w:t>The much lower AUC range (0.62–0.67) reported by Weber et al. (2018) is not a contradictory finding but a reflection of a narrower and substantially harder outcome definition — early, spontaneous-onset preterm birth specifically, rather than preterm birth from any cause — and should not be read as a general ceiling on what administrative birth-certificate data can predict. Taken together, the published range for this category of data and outcome definition (approximately 0.62 for the hardest subtype to 0.76–0.83 for all-cause preterm birth with or without an unexamined outcome-adjacent proxy) provides useful context for what should, and should not, be expected of any model built solely from vital-records data, regardless of algorithm.</w:t>
      </w:r>
    </w:p>
    <w:p w14:paraId="228A7562" w14:textId="77777777" w:rsidR="00134DC3" w:rsidRDefault="00000000" w:rsidP="00CD406F">
      <w:pPr>
        <w:spacing w:after="200" w:line="300" w:lineRule="auto"/>
        <w:jc w:val="both"/>
      </w:pPr>
      <w:r>
        <w:t>The prenatal-visit-count finding has a broader implication for this literature. Total prenatal-visit count is a standard field in essentially every NCHS-derived birth-certificate dataset and appears to be commonly included as a raw predictor in published preterm-birth prediction models built on this data source; the present analysis suggests that any such model should explicitly examine, rather than assume away, the extent to which this variable’s contribution reflects genuine risk signal or the mechanical consequence of the outcome it is used to predict. This is not a criticism specific to any one prior study — the confound is a structural property of retrospective, single-timepoint administrative data, not a preventable analytical error — but it does suggest that reported AUCs in this literature that include this variable without examining it should be interpreted as an upper bound on, rather than an estimate of, true early-warning value.</w:t>
      </w:r>
    </w:p>
    <w:p w14:paraId="34C5E859" w14:textId="77777777" w:rsidR="00134DC3" w:rsidRDefault="00000000" w:rsidP="00CD406F">
      <w:pPr>
        <w:spacing w:after="200" w:line="300" w:lineRule="auto"/>
        <w:jc w:val="both"/>
      </w:pPr>
      <w:r>
        <w:t xml:space="preserve">The illustrative cost estimate developed alongside this model — built from the </w:t>
      </w:r>
      <w:proofErr w:type="spellStart"/>
      <w:r>
        <w:t>previs</w:t>
      </w:r>
      <w:proofErr w:type="spellEnd"/>
      <w:r>
        <w:t xml:space="preserve">-excluded model’s true- and false-positive counts on the 2024 test year, the documented incremental first-year medical cost of a preterm birth ($36,116; March of Dimes </w:t>
      </w:r>
      <w:proofErr w:type="spellStart"/>
      <w:r>
        <w:t>PeriStats</w:t>
      </w:r>
      <w:proofErr w:type="spellEnd"/>
      <w:r>
        <w:t xml:space="preserve">, 2016 data), and placeholder assumptions about </w:t>
      </w:r>
      <w:r>
        <w:lastRenderedPageBreak/>
        <w:t>intervention effectiveness and cost that are not sourced from any real program — is presented only to illustrate the arithmetic structure such an estimate would take, and should not be cited as a validated projection of achievable savings. A defensible savings estimate would require sourcing both parameters from an actual evaluated intervention program, which was outside the scope of this study.</w:t>
      </w:r>
    </w:p>
    <w:p w14:paraId="276F7D91" w14:textId="77777777" w:rsidR="00134DC3" w:rsidRDefault="00000000" w:rsidP="00CD406F">
      <w:pPr>
        <w:pStyle w:val="Heading1"/>
        <w:spacing w:before="360" w:after="160"/>
        <w:jc w:val="both"/>
      </w:pPr>
      <w:r>
        <w:rPr>
          <w:b/>
          <w:bCs/>
          <w:color w:val="1F3864"/>
          <w:sz w:val="28"/>
          <w:szCs w:val="28"/>
        </w:rPr>
        <w:t>5. Limitations</w:t>
      </w:r>
    </w:p>
    <w:p w14:paraId="7B30F857" w14:textId="77777777" w:rsidR="00134DC3" w:rsidRDefault="00000000" w:rsidP="00CD406F">
      <w:pPr>
        <w:spacing w:after="200" w:line="300" w:lineRule="auto"/>
        <w:jc w:val="both"/>
      </w:pPr>
      <w:r>
        <w:t xml:space="preserve">Several limitations bound the interpretation of these results. First, NCHS Natality public-use files exclude geographic identifiers from 2005 onward, precluding any analysis of geographic, facility-level, or rurality-based disparities in this study, including as a dimension of the subgroup analysis in Section 3.7; such analysis would require a restricted-use data agreement outside the present scope. Second, the data source is limited to information recorded on the birth certificate itself and does not include clinical detail available in electronic health records (for example, cervical length, fetal fibronectin, or detailed diagnosis codes for conditions such as premature rupture of membranes), which plausibly explains the performance gap between this model and studies using richer clinical data. Third, while the prenatal-visit-count correction addresses the largest identified reverse-causation confound, prenatal-care-start month (retained in the primary model) is subject to a milder, related concern and was not excluded, on the judgment that it reflects care-seeking behavior recorded early in pregnancy rather than a whole-pregnancy outcome-adjacent total; this judgment is stated explicitly rather than assumed. Fourth, the illustrative decision threshold and cost estimate are not tied to any specific deployment context and should be re-derived once a concrete use case (for example, broad screening versus resource-constrained targeted intervention) is defined. Fifth, the model's raw predicted probabilities are not calibrated (Section 3.6) as a direct consequence of the </w:t>
      </w:r>
      <w:proofErr w:type="spellStart"/>
      <w:r>
        <w:t>scale_pos_weight</w:t>
      </w:r>
      <w:proofErr w:type="spellEnd"/>
      <w:r>
        <w:t xml:space="preserve"> class-imbalance correction used during training; the model supports ranking and thresholding as used throughout this study, but its outputs should not be interpreted as literal probabilities, and would require post-hoc recalibration on an independent set before any use case that presents a probability directly to a clinician or patient. Sixth, the race/ethnicity and maternal-age subgroup analysis in Section 3.7 excludes subgroups below 1,000 test-year records to avoid reporting on an unstably small sample, does not apply a formal statistical test for disparity across groups, and does not compute a per-group calibration slope or intercept, so the elevated Brier scores observed in higher-prevalence subgroups cannot be fully separated from those groups' own higher base rates; any difference reported there should be read as descriptive rather than as a hypothesis-tested claim. Finally, this study evaluates generalization across one external year (2024) following training on three prior years; continued monitoring across additional future years, using the drift-detection framework described in Section 2.7, would strengthen confidence in sustained performance.</w:t>
      </w:r>
    </w:p>
    <w:p w14:paraId="20B42B8D" w14:textId="77777777" w:rsidR="00134DC3" w:rsidRDefault="00000000" w:rsidP="00CD406F">
      <w:pPr>
        <w:pStyle w:val="Heading1"/>
        <w:spacing w:before="360" w:after="160"/>
        <w:jc w:val="both"/>
      </w:pPr>
      <w:r>
        <w:rPr>
          <w:b/>
          <w:bCs/>
          <w:color w:val="1F3864"/>
          <w:sz w:val="28"/>
          <w:szCs w:val="28"/>
        </w:rPr>
        <w:t>6. Conclusion</w:t>
      </w:r>
    </w:p>
    <w:p w14:paraId="3AF78322" w14:textId="77777777" w:rsidR="00134DC3" w:rsidRDefault="00000000" w:rsidP="00CD406F">
      <w:pPr>
        <w:spacing w:after="200" w:line="300" w:lineRule="auto"/>
        <w:jc w:val="both"/>
      </w:pPr>
      <w:r>
        <w:t xml:space="preserve">A machine learning model trained on four years of NCHS birth-certificate data, evaluated with a strict chronological external validation design and a pre-registered promotion gate, achieves early-warning </w:t>
      </w:r>
      <w:r>
        <w:lastRenderedPageBreak/>
        <w:t>performance for preterm birth (AUC 0.764) close to the closest comparable published benchmark (0.756) on a fairer, apples-to-apples basis, once a previously unexamined reverse-causation confound in total prenatal-visit count is identified and removed; because the two figures come from different studies, this should be read as comparable performance achieved more defensibly, not as a formally tested improvement. This correction, along with a singleton-only subgroup validation, a systematic missing-</w:t>
      </w:r>
      <w:proofErr w:type="gramStart"/>
      <w:r>
        <w:t>not-at-random</w:t>
      </w:r>
      <w:proofErr w:type="gramEnd"/>
      <w:r>
        <w:t xml:space="preserve"> audit, and explicit drift monitoring, is offered as a methodological template that other work using this widely available public data source could adopt, regardless of the specific algorithm used.</w:t>
      </w:r>
    </w:p>
    <w:p w14:paraId="446E910F" w14:textId="77777777" w:rsidR="00134DC3" w:rsidRDefault="00000000" w:rsidP="00CD406F">
      <w:pPr>
        <w:pStyle w:val="Heading1"/>
        <w:spacing w:before="360" w:after="160"/>
        <w:jc w:val="both"/>
      </w:pPr>
      <w:r>
        <w:rPr>
          <w:b/>
          <w:bCs/>
          <w:color w:val="1F3864"/>
          <w:sz w:val="28"/>
          <w:szCs w:val="28"/>
        </w:rPr>
        <w:t>Data Availability Statement</w:t>
      </w:r>
    </w:p>
    <w:p w14:paraId="60BFC0E4" w14:textId="77777777" w:rsidR="00134DC3" w:rsidRDefault="00000000" w:rsidP="00CD406F">
      <w:pPr>
        <w:spacing w:after="200" w:line="300" w:lineRule="auto"/>
        <w:jc w:val="both"/>
      </w:pPr>
      <w:r>
        <w:t>The underlying NCHS Natality public-use microdata files are publicly available without restriction from the National Center for Health Statistics and are mirrored by the National Bureau of Economic Research (https://www.nber.org/research/data/vital-statistics-natality-birth-data). Source: National Center for Health Statistics, Natality public-use data files, 2021–2024. Analysis code is available from the corresponding author upon request.</w:t>
      </w:r>
    </w:p>
    <w:p w14:paraId="3757DFDE" w14:textId="77777777" w:rsidR="00134DC3" w:rsidRDefault="00000000" w:rsidP="00CD406F">
      <w:pPr>
        <w:pStyle w:val="Heading1"/>
        <w:spacing w:before="360" w:after="160"/>
        <w:jc w:val="both"/>
      </w:pPr>
      <w:r>
        <w:rPr>
          <w:b/>
          <w:bCs/>
          <w:color w:val="1F3864"/>
          <w:sz w:val="28"/>
          <w:szCs w:val="28"/>
        </w:rPr>
        <w:t>Funding Statement</w:t>
      </w:r>
    </w:p>
    <w:p w14:paraId="413416D9" w14:textId="77777777" w:rsidR="00134DC3" w:rsidRDefault="00000000" w:rsidP="00CD406F">
      <w:pPr>
        <w:spacing w:after="200" w:line="300" w:lineRule="auto"/>
        <w:jc w:val="both"/>
      </w:pPr>
      <w:r>
        <w:t>This research received no external funding.</w:t>
      </w:r>
    </w:p>
    <w:p w14:paraId="065D5C73" w14:textId="77777777" w:rsidR="00134DC3" w:rsidRDefault="00000000" w:rsidP="00CD406F">
      <w:pPr>
        <w:pStyle w:val="Heading1"/>
        <w:spacing w:before="360" w:after="160"/>
        <w:jc w:val="both"/>
      </w:pPr>
      <w:r>
        <w:rPr>
          <w:b/>
          <w:bCs/>
          <w:color w:val="1F3864"/>
          <w:sz w:val="28"/>
          <w:szCs w:val="28"/>
        </w:rPr>
        <w:t>Competing Interests</w:t>
      </w:r>
    </w:p>
    <w:p w14:paraId="46B0648B" w14:textId="77777777" w:rsidR="00134DC3" w:rsidRDefault="00000000" w:rsidP="00CD406F">
      <w:pPr>
        <w:spacing w:after="200" w:line="300" w:lineRule="auto"/>
        <w:jc w:val="both"/>
      </w:pPr>
      <w:r>
        <w:t>The author declares no competing interests.</w:t>
      </w:r>
    </w:p>
    <w:p w14:paraId="780E0E3F" w14:textId="77777777" w:rsidR="00134DC3" w:rsidRDefault="00000000" w:rsidP="00CD406F">
      <w:pPr>
        <w:pStyle w:val="Heading1"/>
        <w:spacing w:before="360" w:after="160"/>
        <w:jc w:val="both"/>
      </w:pPr>
      <w:r>
        <w:rPr>
          <w:b/>
          <w:bCs/>
          <w:color w:val="1F3864"/>
          <w:sz w:val="28"/>
          <w:szCs w:val="28"/>
        </w:rPr>
        <w:t>Ethics Statement</w:t>
      </w:r>
    </w:p>
    <w:p w14:paraId="4E457A5A" w14:textId="77777777" w:rsidR="00134DC3" w:rsidRDefault="00000000" w:rsidP="00CD406F">
      <w:pPr>
        <w:spacing w:after="200" w:line="300" w:lineRule="auto"/>
        <w:jc w:val="both"/>
      </w:pPr>
      <w:r>
        <w:t>This study is a secondary analysis of publicly available, de-identified data. The National Center for Health Statistics' Natality public-use files contain no directly or indirectly identifying information (per NCHS's own public-use data release policy, which suppresses geographic identifiers and other fields with re-identification potential prior to release) and are freely available to any researcher without a data-use agreement. As secondary analysis of an existing, publicly available, de-identified dataset, this study does not constitute human subjects research requiring institutional review board approval.</w:t>
      </w:r>
    </w:p>
    <w:p w14:paraId="5A73A516" w14:textId="77777777" w:rsidR="00134DC3" w:rsidRDefault="00000000">
      <w:pPr>
        <w:pStyle w:val="Heading1"/>
        <w:spacing w:before="360" w:after="160"/>
      </w:pPr>
      <w:r>
        <w:rPr>
          <w:b/>
          <w:bCs/>
          <w:color w:val="1F3864"/>
          <w:sz w:val="28"/>
          <w:szCs w:val="28"/>
        </w:rPr>
        <w:t>References</w:t>
      </w:r>
    </w:p>
    <w:p w14:paraId="21912764" w14:textId="77777777" w:rsidR="00134DC3" w:rsidRDefault="00000000">
      <w:pPr>
        <w:spacing w:after="160" w:line="276" w:lineRule="auto"/>
        <w:ind w:left="360" w:hanging="360"/>
      </w:pPr>
      <w:proofErr w:type="spellStart"/>
      <w:r>
        <w:rPr>
          <w:sz w:val="20"/>
          <w:szCs w:val="20"/>
        </w:rPr>
        <w:t>Ebrahimvandi</w:t>
      </w:r>
      <w:proofErr w:type="spellEnd"/>
      <w:r>
        <w:rPr>
          <w:sz w:val="20"/>
          <w:szCs w:val="20"/>
        </w:rPr>
        <w:t xml:space="preserve">, A., </w:t>
      </w:r>
      <w:proofErr w:type="spellStart"/>
      <w:r>
        <w:rPr>
          <w:sz w:val="20"/>
          <w:szCs w:val="20"/>
        </w:rPr>
        <w:t>Hosseinichimeh</w:t>
      </w:r>
      <w:proofErr w:type="spellEnd"/>
      <w:r>
        <w:rPr>
          <w:sz w:val="20"/>
          <w:szCs w:val="20"/>
        </w:rPr>
        <w:t xml:space="preserve">, N., &amp; Kong, Z. (2022). Identifying the Early Signs of Preterm Birth from U.S. Birth Records Using Machine Learning Techniques. </w:t>
      </w:r>
      <w:r>
        <w:rPr>
          <w:i/>
          <w:iCs/>
          <w:sz w:val="20"/>
          <w:szCs w:val="20"/>
        </w:rPr>
        <w:t>Information</w:t>
      </w:r>
      <w:r>
        <w:rPr>
          <w:sz w:val="20"/>
          <w:szCs w:val="20"/>
        </w:rPr>
        <w:t>, 13(7), 310. https://doi.org/10.3390/info13070310</w:t>
      </w:r>
    </w:p>
    <w:p w14:paraId="58A0FE78" w14:textId="77777777" w:rsidR="00134DC3" w:rsidRDefault="00000000">
      <w:pPr>
        <w:spacing w:after="160" w:line="276" w:lineRule="auto"/>
        <w:ind w:left="360" w:hanging="360"/>
      </w:pPr>
      <w:r>
        <w:rPr>
          <w:sz w:val="20"/>
          <w:szCs w:val="20"/>
        </w:rPr>
        <w:t xml:space="preserve">March of Dimes. (2025). 2025 March of Dimes Report Card: United States. </w:t>
      </w:r>
      <w:proofErr w:type="spellStart"/>
      <w:r>
        <w:rPr>
          <w:sz w:val="20"/>
          <w:szCs w:val="20"/>
        </w:rPr>
        <w:t>PeriStats</w:t>
      </w:r>
      <w:proofErr w:type="spellEnd"/>
      <w:r>
        <w:rPr>
          <w:sz w:val="20"/>
          <w:szCs w:val="20"/>
        </w:rPr>
        <w:t>. https://www.marchofdimes.org/peristats/reports/united-states/report-card</w:t>
      </w:r>
    </w:p>
    <w:p w14:paraId="334F24F3" w14:textId="77777777" w:rsidR="00134DC3" w:rsidRDefault="00000000">
      <w:pPr>
        <w:spacing w:after="160" w:line="276" w:lineRule="auto"/>
        <w:ind w:left="360" w:hanging="360"/>
      </w:pPr>
      <w:r>
        <w:rPr>
          <w:sz w:val="20"/>
          <w:szCs w:val="20"/>
        </w:rPr>
        <w:lastRenderedPageBreak/>
        <w:t xml:space="preserve">March of Dimes </w:t>
      </w:r>
      <w:proofErr w:type="spellStart"/>
      <w:r>
        <w:rPr>
          <w:sz w:val="20"/>
          <w:szCs w:val="20"/>
        </w:rPr>
        <w:t>PeriStats</w:t>
      </w:r>
      <w:proofErr w:type="spellEnd"/>
      <w:r>
        <w:rPr>
          <w:sz w:val="20"/>
          <w:szCs w:val="20"/>
        </w:rPr>
        <w:t>. Medical cost of preterm birth: United States, 2016. https://www.marchofdimes.org/peristats/data?dv=ls&amp;reg=99&amp;top=3&amp;stop=362&amp;lev=1&amp;slev=1&amp;obj=1</w:t>
      </w:r>
    </w:p>
    <w:p w14:paraId="7E495291" w14:textId="77777777" w:rsidR="00134DC3" w:rsidRDefault="00000000">
      <w:pPr>
        <w:spacing w:after="160" w:line="276" w:lineRule="auto"/>
        <w:ind w:left="360" w:hanging="360"/>
      </w:pPr>
      <w:r>
        <w:rPr>
          <w:sz w:val="20"/>
          <w:szCs w:val="20"/>
        </w:rPr>
        <w:t>National Center for Health Statistics, National Vital Statistics System. Natality public-use data files, 2021–2024. U.S. Department of Health and Human Services. Mirrored by the National Bureau of Economic Research: https://www.nber.org/research/data/vital-statistics-natality-birth-data</w:t>
      </w:r>
    </w:p>
    <w:p w14:paraId="5DF19224" w14:textId="77777777" w:rsidR="00134DC3" w:rsidRDefault="00000000">
      <w:pPr>
        <w:spacing w:after="160" w:line="276" w:lineRule="auto"/>
        <w:ind w:left="360" w:hanging="360"/>
      </w:pPr>
      <w:r>
        <w:rPr>
          <w:sz w:val="20"/>
          <w:szCs w:val="20"/>
        </w:rPr>
        <w:t>National Center for Health Statistics. (2024). User guide to the 2023 natality public use file. Hyattsville, MD: U.S. Department of Health and Human Services. https://www.cdc.gov/nchs/data_access/vitalstatsonline.htm</w:t>
      </w:r>
    </w:p>
    <w:p w14:paraId="17804686" w14:textId="77777777" w:rsidR="00134DC3" w:rsidRDefault="00000000">
      <w:pPr>
        <w:spacing w:after="160" w:line="276" w:lineRule="auto"/>
        <w:ind w:left="360" w:hanging="360"/>
      </w:pPr>
      <w:r>
        <w:rPr>
          <w:sz w:val="20"/>
          <w:szCs w:val="20"/>
        </w:rPr>
        <w:t>Weber, A., Darmstadt, G. L., Gruber, S., Foeller, M. E., Carmichael, S. L., Stevenson, D. K., &amp; Shaw, G. M. (2018). Application of machine-learning to predict early spontaneous preterm birth among nulliparous non-Hispanic black and white women. Annals of Epidemiology, 28(11), 783–789.e1. https://doi.org/10.1016/j.annepidem.2018.09.005</w:t>
      </w:r>
    </w:p>
    <w:sectPr w:rsidR="00134DC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78B5A" w14:textId="77777777" w:rsidR="00DB5B91" w:rsidRDefault="00DB5B91">
      <w:r>
        <w:separator/>
      </w:r>
    </w:p>
  </w:endnote>
  <w:endnote w:type="continuationSeparator" w:id="0">
    <w:p w14:paraId="106D35AD" w14:textId="77777777" w:rsidR="00DB5B91" w:rsidRDefault="00DB5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8A5A" w14:textId="77777777" w:rsidR="00134DC3" w:rsidRDefault="00000000">
    <w:pPr>
      <w:jc w:val="center"/>
    </w:pPr>
    <w:r>
      <w:rPr>
        <w:sz w:val="18"/>
        <w:szCs w:val="18"/>
      </w:rPr>
      <w:fldChar w:fldCharType="begin"/>
    </w:r>
    <w:r>
      <w:rPr>
        <w:sz w:val="18"/>
        <w:szCs w:val="18"/>
      </w:rPr>
      <w:instrText>PAGE</w:instrText>
    </w:r>
    <w:r>
      <w:rPr>
        <w:sz w:val="18"/>
        <w:szCs w:val="18"/>
      </w:rPr>
      <w:fldChar w:fldCharType="separate"/>
    </w:r>
    <w:r w:rsidR="00CD406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1340" w14:textId="77777777" w:rsidR="00DB5B91" w:rsidRDefault="00DB5B91">
      <w:r>
        <w:separator/>
      </w:r>
    </w:p>
  </w:footnote>
  <w:footnote w:type="continuationSeparator" w:id="0">
    <w:p w14:paraId="1CD250B9" w14:textId="77777777" w:rsidR="00DB5B91" w:rsidRDefault="00DB5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F3600"/>
    <w:multiLevelType w:val="hybridMultilevel"/>
    <w:tmpl w:val="A8822E68"/>
    <w:lvl w:ilvl="0" w:tplc="D9ECDB40">
      <w:start w:val="1"/>
      <w:numFmt w:val="bullet"/>
      <w:lvlText w:val="●"/>
      <w:lvlJc w:val="left"/>
      <w:pPr>
        <w:ind w:left="720" w:hanging="360"/>
      </w:pPr>
    </w:lvl>
    <w:lvl w:ilvl="1" w:tplc="D3167EAA">
      <w:start w:val="1"/>
      <w:numFmt w:val="bullet"/>
      <w:lvlText w:val="○"/>
      <w:lvlJc w:val="left"/>
      <w:pPr>
        <w:ind w:left="1440" w:hanging="360"/>
      </w:pPr>
    </w:lvl>
    <w:lvl w:ilvl="2" w:tplc="9D16D06A">
      <w:start w:val="1"/>
      <w:numFmt w:val="bullet"/>
      <w:lvlText w:val="■"/>
      <w:lvlJc w:val="left"/>
      <w:pPr>
        <w:ind w:left="2160" w:hanging="360"/>
      </w:pPr>
    </w:lvl>
    <w:lvl w:ilvl="3" w:tplc="184CA5A0">
      <w:start w:val="1"/>
      <w:numFmt w:val="bullet"/>
      <w:lvlText w:val="●"/>
      <w:lvlJc w:val="left"/>
      <w:pPr>
        <w:ind w:left="2880" w:hanging="360"/>
      </w:pPr>
    </w:lvl>
    <w:lvl w:ilvl="4" w:tplc="82BCE962">
      <w:start w:val="1"/>
      <w:numFmt w:val="bullet"/>
      <w:lvlText w:val="○"/>
      <w:lvlJc w:val="left"/>
      <w:pPr>
        <w:ind w:left="3600" w:hanging="360"/>
      </w:pPr>
    </w:lvl>
    <w:lvl w:ilvl="5" w:tplc="1946FE0E">
      <w:start w:val="1"/>
      <w:numFmt w:val="bullet"/>
      <w:lvlText w:val="■"/>
      <w:lvlJc w:val="left"/>
      <w:pPr>
        <w:ind w:left="4320" w:hanging="360"/>
      </w:pPr>
    </w:lvl>
    <w:lvl w:ilvl="6" w:tplc="0F928F30">
      <w:start w:val="1"/>
      <w:numFmt w:val="bullet"/>
      <w:lvlText w:val="●"/>
      <w:lvlJc w:val="left"/>
      <w:pPr>
        <w:ind w:left="5040" w:hanging="360"/>
      </w:pPr>
    </w:lvl>
    <w:lvl w:ilvl="7" w:tplc="C6903A0C">
      <w:start w:val="1"/>
      <w:numFmt w:val="bullet"/>
      <w:lvlText w:val="●"/>
      <w:lvlJc w:val="left"/>
      <w:pPr>
        <w:ind w:left="5760" w:hanging="360"/>
      </w:pPr>
    </w:lvl>
    <w:lvl w:ilvl="8" w:tplc="39A01238">
      <w:start w:val="1"/>
      <w:numFmt w:val="bullet"/>
      <w:lvlText w:val="●"/>
      <w:lvlJc w:val="left"/>
      <w:pPr>
        <w:ind w:left="6480" w:hanging="360"/>
      </w:pPr>
    </w:lvl>
  </w:abstractNum>
  <w:num w:numId="1" w16cid:durableId="105085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C3"/>
    <w:rsid w:val="00134DC3"/>
    <w:rsid w:val="007C71FC"/>
    <w:rsid w:val="00CD406F"/>
    <w:rsid w:val="00DB5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E8F3"/>
  <w15:docId w15:val="{6466950C-6166-4884-8E42-06A54128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6120</Words>
  <Characters>34889</Characters>
  <Application>Microsoft Office Word</Application>
  <DocSecurity>0</DocSecurity>
  <Lines>290</Lines>
  <Paragraphs>81</Paragraphs>
  <ScaleCrop>false</ScaleCrop>
  <Company/>
  <LinksUpToDate>false</LinksUpToDate>
  <CharactersWithSpaces>40928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Lukmon Olayinka</cp:lastModifiedBy>
  <cp:revision>2</cp:revision>
  <dcterms:created xsi:type="dcterms:W3CDTF">2026-08-30T05:08:00Z</dcterms:created>
  <dcterms:modified xsi:type="dcterms:W3CDTF">2026-08-30T21:07:00Z</dcterms:modified>
</cp:coreProperties>
</file>