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A1FDD" w14:textId="77777777" w:rsidR="001C7854" w:rsidRDefault="001C7854" w:rsidP="004A1A96">
      <w:pPr>
        <w:rPr>
          <w:rFonts w:ascii="Times New Roman" w:hAnsi="Times New Roman"/>
          <w:b/>
          <w:sz w:val="28"/>
          <w:szCs w:val="28"/>
        </w:rPr>
      </w:pPr>
      <w:bookmarkStart w:id="0" w:name="_GoBack"/>
      <w:bookmarkEnd w:id="0"/>
    </w:p>
    <w:p w14:paraId="4EE52DF0" w14:textId="77777777" w:rsidR="001C7854" w:rsidRDefault="001C7854" w:rsidP="004A1A96">
      <w:pPr>
        <w:rPr>
          <w:rFonts w:ascii="Times New Roman" w:hAnsi="Times New Roman"/>
          <w:b/>
          <w:sz w:val="28"/>
          <w:szCs w:val="28"/>
        </w:rPr>
      </w:pPr>
      <w:r w:rsidRPr="001C7854">
        <w:rPr>
          <w:rFonts w:ascii="Times New Roman" w:hAnsi="Times New Roman"/>
          <w:b/>
          <w:sz w:val="28"/>
          <w:szCs w:val="28"/>
        </w:rPr>
        <w:t>PROTOCOL TITLE</w:t>
      </w:r>
      <w:r>
        <w:rPr>
          <w:rFonts w:ascii="Times New Roman" w:hAnsi="Times New Roman"/>
          <w:b/>
          <w:sz w:val="28"/>
          <w:szCs w:val="28"/>
        </w:rPr>
        <w:t>:</w:t>
      </w:r>
    </w:p>
    <w:p w14:paraId="4920230F" w14:textId="1540C8D4" w:rsidR="001C7854" w:rsidRPr="00EF486A" w:rsidRDefault="00EF486A" w:rsidP="004A1A96">
      <w:pPr>
        <w:pStyle w:val="Default"/>
        <w:spacing w:before="120" w:after="120"/>
        <w:ind w:left="720"/>
      </w:pPr>
      <w:r w:rsidRPr="00EF486A">
        <w:t xml:space="preserve">Rapid Elimination Procedure of Teriflunomide </w:t>
      </w:r>
    </w:p>
    <w:p w14:paraId="70EDCC3D" w14:textId="77777777" w:rsidR="001C7854" w:rsidRDefault="001C7854" w:rsidP="004A1A96">
      <w:pPr>
        <w:pStyle w:val="Default"/>
        <w:rPr>
          <w:b/>
          <w:sz w:val="28"/>
          <w:szCs w:val="28"/>
        </w:rPr>
      </w:pPr>
      <w:r>
        <w:rPr>
          <w:b/>
          <w:sz w:val="28"/>
          <w:szCs w:val="28"/>
        </w:rPr>
        <w:t>PRINCIPAL INVESTIGATOR:</w:t>
      </w:r>
    </w:p>
    <w:p w14:paraId="6DC13F89" w14:textId="3AF1F015" w:rsidR="001C7854" w:rsidRPr="00EF486A" w:rsidRDefault="00515501" w:rsidP="004A1A96">
      <w:pPr>
        <w:pStyle w:val="Default"/>
        <w:spacing w:before="120"/>
        <w:ind w:left="720"/>
      </w:pPr>
      <w:r>
        <w:t>Alice</w:t>
      </w:r>
      <w:r w:rsidR="00EF486A">
        <w:t xml:space="preserve"> Roberts, M.D.</w:t>
      </w:r>
    </w:p>
    <w:p w14:paraId="29AF62E2" w14:textId="79A29D0C" w:rsidR="001C7854" w:rsidRPr="00EF486A" w:rsidRDefault="00EF486A" w:rsidP="004A1A96">
      <w:pPr>
        <w:pStyle w:val="Default"/>
        <w:ind w:left="720"/>
      </w:pPr>
      <w:r>
        <w:t>USF Department of Neurology</w:t>
      </w:r>
    </w:p>
    <w:p w14:paraId="4871322C" w14:textId="352ECAE8" w:rsidR="001C7854" w:rsidRPr="00EF486A" w:rsidRDefault="00EF486A" w:rsidP="004A1A96">
      <w:pPr>
        <w:pStyle w:val="Default"/>
        <w:ind w:left="720"/>
      </w:pPr>
      <w:r>
        <w:t>813-974-5555</w:t>
      </w:r>
    </w:p>
    <w:p w14:paraId="399E930F" w14:textId="13E8FA82" w:rsidR="001C7854" w:rsidRPr="00EF486A" w:rsidRDefault="00232FBB" w:rsidP="004A1A96">
      <w:pPr>
        <w:pStyle w:val="Default"/>
        <w:spacing w:after="120"/>
        <w:ind w:left="720"/>
      </w:pPr>
      <w:r>
        <w:t>A</w:t>
      </w:r>
      <w:r w:rsidR="00EF486A">
        <w:t>Roberts@usf.edu</w:t>
      </w:r>
    </w:p>
    <w:p w14:paraId="137C6E75" w14:textId="77777777" w:rsidR="001C7854" w:rsidRDefault="001C7854" w:rsidP="004A1A96">
      <w:pPr>
        <w:pStyle w:val="Default"/>
        <w:rPr>
          <w:b/>
          <w:sz w:val="28"/>
          <w:szCs w:val="28"/>
        </w:rPr>
      </w:pPr>
      <w:r>
        <w:rPr>
          <w:b/>
          <w:sz w:val="28"/>
          <w:szCs w:val="28"/>
        </w:rPr>
        <w:t>VERSION NUMBER</w:t>
      </w:r>
      <w:r w:rsidR="00297491">
        <w:rPr>
          <w:b/>
          <w:sz w:val="28"/>
          <w:szCs w:val="28"/>
        </w:rPr>
        <w:t>/DATE</w:t>
      </w:r>
      <w:r>
        <w:rPr>
          <w:b/>
          <w:sz w:val="28"/>
          <w:szCs w:val="28"/>
        </w:rPr>
        <w:t>:</w:t>
      </w:r>
    </w:p>
    <w:p w14:paraId="27A64756" w14:textId="24773708" w:rsidR="001C7854" w:rsidRPr="00EF486A" w:rsidRDefault="00EF486A" w:rsidP="004A1A96">
      <w:pPr>
        <w:pStyle w:val="Default"/>
        <w:spacing w:before="120" w:after="120"/>
        <w:ind w:left="720"/>
      </w:pPr>
      <w:r>
        <w:t>Version 1, 9/17/2019</w:t>
      </w:r>
    </w:p>
    <w:p w14:paraId="310B7700" w14:textId="77777777" w:rsidR="00297491" w:rsidRDefault="00297491" w:rsidP="004A1A96">
      <w:pPr>
        <w:pStyle w:val="Default"/>
        <w:spacing w:before="120" w:after="120"/>
        <w:ind w:left="720"/>
        <w:rPr>
          <w:i/>
        </w:rPr>
      </w:pPr>
    </w:p>
    <w:p w14:paraId="1FE0FCCA" w14:textId="77777777" w:rsidR="00297491" w:rsidRDefault="00297491" w:rsidP="004A1A96">
      <w:pPr>
        <w:pStyle w:val="Default"/>
      </w:pPr>
      <w:r>
        <w:rPr>
          <w:b/>
          <w:sz w:val="28"/>
          <w:szCs w:val="28"/>
        </w:rPr>
        <w:t>R</w:t>
      </w:r>
      <w:r w:rsidR="008217D1">
        <w:rPr>
          <w:b/>
          <w:sz w:val="28"/>
          <w:szCs w:val="28"/>
        </w:rPr>
        <w:t>EVISION HISTORY</w:t>
      </w:r>
    </w:p>
    <w:p w14:paraId="154E974B" w14:textId="77777777" w:rsidR="00297491" w:rsidRDefault="00297491" w:rsidP="004A1A96"/>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297491" w14:paraId="7FE027D3" w14:textId="77777777" w:rsidTr="00DF71A6">
        <w:tc>
          <w:tcPr>
            <w:tcW w:w="1103" w:type="dxa"/>
          </w:tcPr>
          <w:p w14:paraId="030EDDC9" w14:textId="77777777" w:rsidR="00297491" w:rsidRDefault="00297491" w:rsidP="004A1A96">
            <w:r>
              <w:rPr>
                <w:rFonts w:ascii="Times New Roman" w:hAnsi="Times New Roman"/>
                <w:b/>
              </w:rPr>
              <w:t>Revision #</w:t>
            </w:r>
          </w:p>
        </w:tc>
        <w:tc>
          <w:tcPr>
            <w:tcW w:w="1663" w:type="dxa"/>
          </w:tcPr>
          <w:p w14:paraId="6C5F0AB5" w14:textId="77777777" w:rsidR="00297491" w:rsidRDefault="00297491" w:rsidP="004A1A96">
            <w:r>
              <w:rPr>
                <w:rFonts w:ascii="Times New Roman" w:hAnsi="Times New Roman"/>
                <w:b/>
              </w:rPr>
              <w:t>Version Date</w:t>
            </w:r>
          </w:p>
        </w:tc>
        <w:tc>
          <w:tcPr>
            <w:tcW w:w="4802" w:type="dxa"/>
          </w:tcPr>
          <w:p w14:paraId="152AC5C8" w14:textId="77777777" w:rsidR="00297491" w:rsidRDefault="00297491" w:rsidP="004A1A96">
            <w:r>
              <w:rPr>
                <w:rFonts w:ascii="Times New Roman" w:hAnsi="Times New Roman"/>
                <w:b/>
              </w:rPr>
              <w:t>Summary of Changes</w:t>
            </w:r>
          </w:p>
        </w:tc>
        <w:tc>
          <w:tcPr>
            <w:tcW w:w="1288" w:type="dxa"/>
          </w:tcPr>
          <w:p w14:paraId="24F25629" w14:textId="77777777" w:rsidR="00297491" w:rsidRDefault="00297491" w:rsidP="004A1A96">
            <w:r>
              <w:rPr>
                <w:rFonts w:ascii="Times New Roman" w:hAnsi="Times New Roman"/>
                <w:b/>
              </w:rPr>
              <w:t>Consent Change?</w:t>
            </w:r>
          </w:p>
        </w:tc>
      </w:tr>
      <w:tr w:rsidR="00297491" w14:paraId="0C2FA45C" w14:textId="77777777" w:rsidTr="00DF71A6">
        <w:tc>
          <w:tcPr>
            <w:tcW w:w="1103" w:type="dxa"/>
          </w:tcPr>
          <w:p w14:paraId="5564CE0D" w14:textId="77777777" w:rsidR="00297491" w:rsidRDefault="00297491" w:rsidP="004A1A96"/>
        </w:tc>
        <w:tc>
          <w:tcPr>
            <w:tcW w:w="1663" w:type="dxa"/>
          </w:tcPr>
          <w:p w14:paraId="1741A111" w14:textId="77777777" w:rsidR="00297491" w:rsidRDefault="00297491" w:rsidP="004A1A96"/>
        </w:tc>
        <w:tc>
          <w:tcPr>
            <w:tcW w:w="4802" w:type="dxa"/>
          </w:tcPr>
          <w:p w14:paraId="4BCCC292" w14:textId="77777777" w:rsidR="00297491" w:rsidRDefault="00297491" w:rsidP="004A1A96"/>
        </w:tc>
        <w:tc>
          <w:tcPr>
            <w:tcW w:w="1288" w:type="dxa"/>
          </w:tcPr>
          <w:p w14:paraId="09513A20" w14:textId="77777777" w:rsidR="00297491" w:rsidRDefault="00297491" w:rsidP="004A1A96"/>
        </w:tc>
      </w:tr>
      <w:tr w:rsidR="00297491" w14:paraId="7C4C6CE6" w14:textId="77777777" w:rsidTr="00DF71A6">
        <w:tc>
          <w:tcPr>
            <w:tcW w:w="1103" w:type="dxa"/>
          </w:tcPr>
          <w:p w14:paraId="1AC122E2" w14:textId="77777777" w:rsidR="00297491" w:rsidRDefault="00297491" w:rsidP="004A1A96"/>
        </w:tc>
        <w:tc>
          <w:tcPr>
            <w:tcW w:w="1663" w:type="dxa"/>
          </w:tcPr>
          <w:p w14:paraId="7E63FA2F" w14:textId="77777777" w:rsidR="00297491" w:rsidRDefault="00297491" w:rsidP="004A1A96"/>
        </w:tc>
        <w:tc>
          <w:tcPr>
            <w:tcW w:w="4802" w:type="dxa"/>
          </w:tcPr>
          <w:p w14:paraId="5C81E538" w14:textId="77777777" w:rsidR="00297491" w:rsidRDefault="00297491" w:rsidP="004A1A96"/>
        </w:tc>
        <w:tc>
          <w:tcPr>
            <w:tcW w:w="1288" w:type="dxa"/>
          </w:tcPr>
          <w:p w14:paraId="7E4370D4" w14:textId="77777777" w:rsidR="00297491" w:rsidRDefault="00297491" w:rsidP="004A1A96"/>
        </w:tc>
      </w:tr>
      <w:tr w:rsidR="00297491" w14:paraId="193EE770" w14:textId="77777777" w:rsidTr="00DF71A6">
        <w:tc>
          <w:tcPr>
            <w:tcW w:w="1103" w:type="dxa"/>
          </w:tcPr>
          <w:p w14:paraId="1AFAA560" w14:textId="77777777" w:rsidR="00297491" w:rsidRDefault="00297491" w:rsidP="004A1A96"/>
        </w:tc>
        <w:tc>
          <w:tcPr>
            <w:tcW w:w="1663" w:type="dxa"/>
          </w:tcPr>
          <w:p w14:paraId="1CA7040E" w14:textId="77777777" w:rsidR="00297491" w:rsidRDefault="00297491" w:rsidP="004A1A96"/>
        </w:tc>
        <w:tc>
          <w:tcPr>
            <w:tcW w:w="4802" w:type="dxa"/>
          </w:tcPr>
          <w:p w14:paraId="4E535F0F" w14:textId="77777777" w:rsidR="00297491" w:rsidRDefault="00297491" w:rsidP="004A1A96"/>
        </w:tc>
        <w:tc>
          <w:tcPr>
            <w:tcW w:w="1288" w:type="dxa"/>
          </w:tcPr>
          <w:p w14:paraId="6F729159" w14:textId="77777777" w:rsidR="00297491" w:rsidRDefault="00297491" w:rsidP="004A1A96"/>
        </w:tc>
      </w:tr>
      <w:tr w:rsidR="00297491" w14:paraId="259FB4CB" w14:textId="77777777" w:rsidTr="00DF71A6">
        <w:tc>
          <w:tcPr>
            <w:tcW w:w="1103" w:type="dxa"/>
          </w:tcPr>
          <w:p w14:paraId="1D4180F1" w14:textId="77777777" w:rsidR="00297491" w:rsidRDefault="00297491" w:rsidP="004A1A96"/>
        </w:tc>
        <w:tc>
          <w:tcPr>
            <w:tcW w:w="1663" w:type="dxa"/>
          </w:tcPr>
          <w:p w14:paraId="74FC5B70" w14:textId="77777777" w:rsidR="00297491" w:rsidRDefault="00297491" w:rsidP="004A1A96"/>
        </w:tc>
        <w:tc>
          <w:tcPr>
            <w:tcW w:w="4802" w:type="dxa"/>
          </w:tcPr>
          <w:p w14:paraId="104CD93E" w14:textId="77777777" w:rsidR="00297491" w:rsidRDefault="00297491" w:rsidP="004A1A96"/>
        </w:tc>
        <w:tc>
          <w:tcPr>
            <w:tcW w:w="1288" w:type="dxa"/>
          </w:tcPr>
          <w:p w14:paraId="6F36D53F" w14:textId="77777777" w:rsidR="00297491" w:rsidRDefault="00297491" w:rsidP="004A1A96"/>
        </w:tc>
      </w:tr>
      <w:tr w:rsidR="00297491" w14:paraId="7B98FBA8" w14:textId="77777777" w:rsidTr="00DF71A6">
        <w:tc>
          <w:tcPr>
            <w:tcW w:w="1103" w:type="dxa"/>
          </w:tcPr>
          <w:p w14:paraId="7AE7A097" w14:textId="77777777" w:rsidR="00297491" w:rsidRDefault="00297491" w:rsidP="004A1A96"/>
        </w:tc>
        <w:tc>
          <w:tcPr>
            <w:tcW w:w="1663" w:type="dxa"/>
          </w:tcPr>
          <w:p w14:paraId="2308C0AF" w14:textId="77777777" w:rsidR="00297491" w:rsidRDefault="00297491" w:rsidP="004A1A96"/>
        </w:tc>
        <w:tc>
          <w:tcPr>
            <w:tcW w:w="4802" w:type="dxa"/>
          </w:tcPr>
          <w:p w14:paraId="21D4CEEB" w14:textId="77777777" w:rsidR="00297491" w:rsidRDefault="00297491" w:rsidP="004A1A96"/>
        </w:tc>
        <w:tc>
          <w:tcPr>
            <w:tcW w:w="1288" w:type="dxa"/>
          </w:tcPr>
          <w:p w14:paraId="7C12E2F0" w14:textId="77777777" w:rsidR="00297491" w:rsidRDefault="00297491" w:rsidP="004A1A96"/>
        </w:tc>
      </w:tr>
    </w:tbl>
    <w:p w14:paraId="64B4F40A" w14:textId="77777777" w:rsidR="00DF71A6" w:rsidRDefault="00DF71A6" w:rsidP="004A1A96">
      <w:pPr>
        <w:autoSpaceDE/>
        <w:autoSpaceDN/>
        <w:adjustRightInd/>
        <w:rPr>
          <w:rFonts w:ascii="Cambria" w:eastAsia="MS Gothic" w:hAnsi="Cambria"/>
          <w:b/>
          <w:bCs/>
          <w:i/>
          <w:color w:val="365F91"/>
          <w:sz w:val="28"/>
          <w:szCs w:val="28"/>
          <w:lang w:eastAsia="ja-JP"/>
        </w:rPr>
      </w:pPr>
      <w:r>
        <w:rPr>
          <w:i/>
        </w:rPr>
        <w:br w:type="page"/>
      </w:r>
    </w:p>
    <w:p w14:paraId="0D032184" w14:textId="77777777" w:rsidR="001C7854" w:rsidRPr="001C7854" w:rsidRDefault="001C7854" w:rsidP="004A1A96">
      <w:pPr>
        <w:pStyle w:val="TOCHeading"/>
        <w:spacing w:before="0" w:line="240" w:lineRule="auto"/>
        <w:rPr>
          <w:rFonts w:ascii="Times New Roman" w:hAnsi="Times New Roman"/>
          <w:color w:val="000000"/>
        </w:rPr>
      </w:pPr>
      <w:r w:rsidRPr="001C7854">
        <w:rPr>
          <w:rFonts w:ascii="Times New Roman" w:hAnsi="Times New Roman"/>
          <w:color w:val="000000"/>
        </w:rPr>
        <w:lastRenderedPageBreak/>
        <w:t>Table of Contents</w:t>
      </w:r>
    </w:p>
    <w:p w14:paraId="0C4094EE" w14:textId="7B943688" w:rsidR="00AE68A2" w:rsidRDefault="001C7854">
      <w:pPr>
        <w:pStyle w:val="TOC1"/>
        <w:tabs>
          <w:tab w:val="left" w:pos="66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064198" w:history="1">
        <w:r w:rsidR="00AE68A2" w:rsidRPr="003E0AEE">
          <w:rPr>
            <w:rStyle w:val="Hyperlink"/>
            <w:noProof/>
          </w:rPr>
          <w:t>1.0</w:t>
        </w:r>
        <w:r w:rsidR="00AE68A2">
          <w:rPr>
            <w:rFonts w:asciiTheme="minorHAnsi" w:eastAsiaTheme="minorEastAsia" w:hAnsiTheme="minorHAnsi" w:cstheme="minorBidi"/>
            <w:noProof/>
            <w:sz w:val="22"/>
            <w:szCs w:val="22"/>
          </w:rPr>
          <w:tab/>
        </w:r>
        <w:r w:rsidR="00AE68A2" w:rsidRPr="003E0AEE">
          <w:rPr>
            <w:rStyle w:val="Hyperlink"/>
            <w:noProof/>
          </w:rPr>
          <w:t>Study Summary</w:t>
        </w:r>
        <w:r w:rsidR="00AE68A2">
          <w:rPr>
            <w:noProof/>
            <w:webHidden/>
          </w:rPr>
          <w:tab/>
        </w:r>
        <w:r w:rsidR="00AE68A2">
          <w:rPr>
            <w:noProof/>
            <w:webHidden/>
          </w:rPr>
          <w:fldChar w:fldCharType="begin"/>
        </w:r>
        <w:r w:rsidR="00AE68A2">
          <w:rPr>
            <w:noProof/>
            <w:webHidden/>
          </w:rPr>
          <w:instrText xml:space="preserve"> PAGEREF _Toc18064198 \h </w:instrText>
        </w:r>
        <w:r w:rsidR="00AE68A2">
          <w:rPr>
            <w:noProof/>
            <w:webHidden/>
          </w:rPr>
        </w:r>
        <w:r w:rsidR="00AE68A2">
          <w:rPr>
            <w:noProof/>
            <w:webHidden/>
          </w:rPr>
          <w:fldChar w:fldCharType="separate"/>
        </w:r>
        <w:r w:rsidR="00AE68A2">
          <w:rPr>
            <w:noProof/>
            <w:webHidden/>
          </w:rPr>
          <w:t>3</w:t>
        </w:r>
        <w:r w:rsidR="00AE68A2">
          <w:rPr>
            <w:noProof/>
            <w:webHidden/>
          </w:rPr>
          <w:fldChar w:fldCharType="end"/>
        </w:r>
      </w:hyperlink>
    </w:p>
    <w:p w14:paraId="249E28AF" w14:textId="405C4EAE"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199" w:history="1">
        <w:r w:rsidR="00AE68A2" w:rsidRPr="003E0AEE">
          <w:rPr>
            <w:rStyle w:val="Hyperlink"/>
            <w:noProof/>
          </w:rPr>
          <w:t>2.0</w:t>
        </w:r>
        <w:r w:rsidR="00AE68A2">
          <w:rPr>
            <w:rFonts w:asciiTheme="minorHAnsi" w:eastAsiaTheme="minorEastAsia" w:hAnsiTheme="minorHAnsi" w:cstheme="minorBidi"/>
            <w:noProof/>
            <w:sz w:val="22"/>
            <w:szCs w:val="22"/>
          </w:rPr>
          <w:tab/>
        </w:r>
        <w:r w:rsidR="00AE68A2" w:rsidRPr="003E0AEE">
          <w:rPr>
            <w:rStyle w:val="Hyperlink"/>
            <w:noProof/>
          </w:rPr>
          <w:t>Objectives</w:t>
        </w:r>
        <w:r w:rsidR="00AE68A2">
          <w:rPr>
            <w:noProof/>
            <w:webHidden/>
          </w:rPr>
          <w:tab/>
        </w:r>
        <w:r w:rsidR="00AE68A2">
          <w:rPr>
            <w:noProof/>
            <w:webHidden/>
          </w:rPr>
          <w:fldChar w:fldCharType="begin"/>
        </w:r>
        <w:r w:rsidR="00AE68A2">
          <w:rPr>
            <w:noProof/>
            <w:webHidden/>
          </w:rPr>
          <w:instrText xml:space="preserve"> PAGEREF _Toc18064199 \h </w:instrText>
        </w:r>
        <w:r w:rsidR="00AE68A2">
          <w:rPr>
            <w:noProof/>
            <w:webHidden/>
          </w:rPr>
        </w:r>
        <w:r w:rsidR="00AE68A2">
          <w:rPr>
            <w:noProof/>
            <w:webHidden/>
          </w:rPr>
          <w:fldChar w:fldCharType="separate"/>
        </w:r>
        <w:r w:rsidR="00AE68A2">
          <w:rPr>
            <w:noProof/>
            <w:webHidden/>
          </w:rPr>
          <w:t>4</w:t>
        </w:r>
        <w:r w:rsidR="00AE68A2">
          <w:rPr>
            <w:noProof/>
            <w:webHidden/>
          </w:rPr>
          <w:fldChar w:fldCharType="end"/>
        </w:r>
      </w:hyperlink>
    </w:p>
    <w:p w14:paraId="628B7A38" w14:textId="1284D5E5"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0" w:history="1">
        <w:r w:rsidR="00AE68A2" w:rsidRPr="003E0AEE">
          <w:rPr>
            <w:rStyle w:val="Hyperlink"/>
            <w:noProof/>
          </w:rPr>
          <w:t>3.0</w:t>
        </w:r>
        <w:r w:rsidR="00AE68A2">
          <w:rPr>
            <w:rFonts w:asciiTheme="minorHAnsi" w:eastAsiaTheme="minorEastAsia" w:hAnsiTheme="minorHAnsi" w:cstheme="minorBidi"/>
            <w:noProof/>
            <w:sz w:val="22"/>
            <w:szCs w:val="22"/>
          </w:rPr>
          <w:tab/>
        </w:r>
        <w:r w:rsidR="00AE68A2" w:rsidRPr="003E0AEE">
          <w:rPr>
            <w:rStyle w:val="Hyperlink"/>
            <w:noProof/>
          </w:rPr>
          <w:t>Background</w:t>
        </w:r>
        <w:r w:rsidR="00AE68A2">
          <w:rPr>
            <w:noProof/>
            <w:webHidden/>
          </w:rPr>
          <w:tab/>
        </w:r>
        <w:r w:rsidR="00AE68A2">
          <w:rPr>
            <w:noProof/>
            <w:webHidden/>
          </w:rPr>
          <w:fldChar w:fldCharType="begin"/>
        </w:r>
        <w:r w:rsidR="00AE68A2">
          <w:rPr>
            <w:noProof/>
            <w:webHidden/>
          </w:rPr>
          <w:instrText xml:space="preserve"> PAGEREF _Toc18064200 \h </w:instrText>
        </w:r>
        <w:r w:rsidR="00AE68A2">
          <w:rPr>
            <w:noProof/>
            <w:webHidden/>
          </w:rPr>
        </w:r>
        <w:r w:rsidR="00AE68A2">
          <w:rPr>
            <w:noProof/>
            <w:webHidden/>
          </w:rPr>
          <w:fldChar w:fldCharType="separate"/>
        </w:r>
        <w:r w:rsidR="00AE68A2">
          <w:rPr>
            <w:noProof/>
            <w:webHidden/>
          </w:rPr>
          <w:t>4</w:t>
        </w:r>
        <w:r w:rsidR="00AE68A2">
          <w:rPr>
            <w:noProof/>
            <w:webHidden/>
          </w:rPr>
          <w:fldChar w:fldCharType="end"/>
        </w:r>
      </w:hyperlink>
    </w:p>
    <w:p w14:paraId="1BDC9C79" w14:textId="7E395927"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1" w:history="1">
        <w:r w:rsidR="00AE68A2" w:rsidRPr="003E0AEE">
          <w:rPr>
            <w:rStyle w:val="Hyperlink"/>
            <w:noProof/>
          </w:rPr>
          <w:t>4.0</w:t>
        </w:r>
        <w:r w:rsidR="00AE68A2">
          <w:rPr>
            <w:rFonts w:asciiTheme="minorHAnsi" w:eastAsiaTheme="minorEastAsia" w:hAnsiTheme="minorHAnsi" w:cstheme="minorBidi"/>
            <w:noProof/>
            <w:sz w:val="22"/>
            <w:szCs w:val="22"/>
          </w:rPr>
          <w:tab/>
        </w:r>
        <w:r w:rsidR="00AE68A2" w:rsidRPr="003E0AEE">
          <w:rPr>
            <w:rStyle w:val="Hyperlink"/>
            <w:noProof/>
          </w:rPr>
          <w:t>Safety Endpoints</w:t>
        </w:r>
        <w:r w:rsidR="00AE68A2">
          <w:rPr>
            <w:noProof/>
            <w:webHidden/>
          </w:rPr>
          <w:tab/>
        </w:r>
        <w:r w:rsidR="00AE68A2">
          <w:rPr>
            <w:noProof/>
            <w:webHidden/>
          </w:rPr>
          <w:fldChar w:fldCharType="begin"/>
        </w:r>
        <w:r w:rsidR="00AE68A2">
          <w:rPr>
            <w:noProof/>
            <w:webHidden/>
          </w:rPr>
          <w:instrText xml:space="preserve"> PAGEREF _Toc18064201 \h </w:instrText>
        </w:r>
        <w:r w:rsidR="00AE68A2">
          <w:rPr>
            <w:noProof/>
            <w:webHidden/>
          </w:rPr>
        </w:r>
        <w:r w:rsidR="00AE68A2">
          <w:rPr>
            <w:noProof/>
            <w:webHidden/>
          </w:rPr>
          <w:fldChar w:fldCharType="separate"/>
        </w:r>
        <w:r w:rsidR="00AE68A2">
          <w:rPr>
            <w:noProof/>
            <w:webHidden/>
          </w:rPr>
          <w:t>4</w:t>
        </w:r>
        <w:r w:rsidR="00AE68A2">
          <w:rPr>
            <w:noProof/>
            <w:webHidden/>
          </w:rPr>
          <w:fldChar w:fldCharType="end"/>
        </w:r>
      </w:hyperlink>
    </w:p>
    <w:p w14:paraId="796B9789" w14:textId="2204896C"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2" w:history="1">
        <w:r w:rsidR="00AE68A2" w:rsidRPr="003E0AEE">
          <w:rPr>
            <w:rStyle w:val="Hyperlink"/>
            <w:noProof/>
          </w:rPr>
          <w:t>5.0</w:t>
        </w:r>
        <w:r w:rsidR="00AE68A2">
          <w:rPr>
            <w:rFonts w:asciiTheme="minorHAnsi" w:eastAsiaTheme="minorEastAsia" w:hAnsiTheme="minorHAnsi" w:cstheme="minorBidi"/>
            <w:noProof/>
            <w:sz w:val="22"/>
            <w:szCs w:val="22"/>
          </w:rPr>
          <w:tab/>
        </w:r>
        <w:r w:rsidR="00AE68A2" w:rsidRPr="003E0AEE">
          <w:rPr>
            <w:rStyle w:val="Hyperlink"/>
            <w:noProof/>
          </w:rPr>
          <w:t xml:space="preserve">Study Interventions, Investigational Agents, and FDA-Regulated Products </w:t>
        </w:r>
        <w:r w:rsidR="00AE68A2" w:rsidRPr="003E0AEE">
          <w:rPr>
            <w:rStyle w:val="Hyperlink"/>
            <w:i/>
            <w:noProof/>
          </w:rPr>
          <w:t>(as applicable)</w:t>
        </w:r>
        <w:r w:rsidR="00AE68A2">
          <w:rPr>
            <w:noProof/>
            <w:webHidden/>
          </w:rPr>
          <w:tab/>
        </w:r>
        <w:r w:rsidR="00AE68A2">
          <w:rPr>
            <w:noProof/>
            <w:webHidden/>
          </w:rPr>
          <w:fldChar w:fldCharType="begin"/>
        </w:r>
        <w:r w:rsidR="00AE68A2">
          <w:rPr>
            <w:noProof/>
            <w:webHidden/>
          </w:rPr>
          <w:instrText xml:space="preserve"> PAGEREF _Toc18064202 \h </w:instrText>
        </w:r>
        <w:r w:rsidR="00AE68A2">
          <w:rPr>
            <w:noProof/>
            <w:webHidden/>
          </w:rPr>
        </w:r>
        <w:r w:rsidR="00AE68A2">
          <w:rPr>
            <w:noProof/>
            <w:webHidden/>
          </w:rPr>
          <w:fldChar w:fldCharType="separate"/>
        </w:r>
        <w:r w:rsidR="00AE68A2">
          <w:rPr>
            <w:noProof/>
            <w:webHidden/>
          </w:rPr>
          <w:t>4</w:t>
        </w:r>
        <w:r w:rsidR="00AE68A2">
          <w:rPr>
            <w:noProof/>
            <w:webHidden/>
          </w:rPr>
          <w:fldChar w:fldCharType="end"/>
        </w:r>
      </w:hyperlink>
    </w:p>
    <w:p w14:paraId="2FA14AD9" w14:textId="7BEF4469"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3" w:history="1">
        <w:r w:rsidR="00AE68A2" w:rsidRPr="003E0AEE">
          <w:rPr>
            <w:rStyle w:val="Hyperlink"/>
            <w:noProof/>
          </w:rPr>
          <w:t>6.0</w:t>
        </w:r>
        <w:r w:rsidR="00AE68A2">
          <w:rPr>
            <w:rFonts w:asciiTheme="minorHAnsi" w:eastAsiaTheme="minorEastAsia" w:hAnsiTheme="minorHAnsi" w:cstheme="minorBidi"/>
            <w:noProof/>
            <w:sz w:val="22"/>
            <w:szCs w:val="22"/>
          </w:rPr>
          <w:tab/>
        </w:r>
        <w:r w:rsidR="00AE68A2" w:rsidRPr="003E0AEE">
          <w:rPr>
            <w:rStyle w:val="Hyperlink"/>
            <w:noProof/>
          </w:rPr>
          <w:t>Procedures Involved</w:t>
        </w:r>
        <w:r w:rsidR="00AE68A2">
          <w:rPr>
            <w:noProof/>
            <w:webHidden/>
          </w:rPr>
          <w:tab/>
        </w:r>
        <w:r w:rsidR="00AE68A2">
          <w:rPr>
            <w:noProof/>
            <w:webHidden/>
          </w:rPr>
          <w:fldChar w:fldCharType="begin"/>
        </w:r>
        <w:r w:rsidR="00AE68A2">
          <w:rPr>
            <w:noProof/>
            <w:webHidden/>
          </w:rPr>
          <w:instrText xml:space="preserve"> PAGEREF _Toc18064203 \h </w:instrText>
        </w:r>
        <w:r w:rsidR="00AE68A2">
          <w:rPr>
            <w:noProof/>
            <w:webHidden/>
          </w:rPr>
        </w:r>
        <w:r w:rsidR="00AE68A2">
          <w:rPr>
            <w:noProof/>
            <w:webHidden/>
          </w:rPr>
          <w:fldChar w:fldCharType="separate"/>
        </w:r>
        <w:r w:rsidR="00AE68A2">
          <w:rPr>
            <w:noProof/>
            <w:webHidden/>
          </w:rPr>
          <w:t>5</w:t>
        </w:r>
        <w:r w:rsidR="00AE68A2">
          <w:rPr>
            <w:noProof/>
            <w:webHidden/>
          </w:rPr>
          <w:fldChar w:fldCharType="end"/>
        </w:r>
      </w:hyperlink>
    </w:p>
    <w:p w14:paraId="59C125D8" w14:textId="71BD8C81"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4" w:history="1">
        <w:r w:rsidR="00AE68A2" w:rsidRPr="003E0AEE">
          <w:rPr>
            <w:rStyle w:val="Hyperlink"/>
            <w:noProof/>
          </w:rPr>
          <w:t>7.0</w:t>
        </w:r>
        <w:r w:rsidR="00AE68A2">
          <w:rPr>
            <w:rFonts w:asciiTheme="minorHAnsi" w:eastAsiaTheme="minorEastAsia" w:hAnsiTheme="minorHAnsi" w:cstheme="minorBidi"/>
            <w:noProof/>
            <w:sz w:val="22"/>
            <w:szCs w:val="22"/>
          </w:rPr>
          <w:tab/>
        </w:r>
        <w:r w:rsidR="00AE68A2" w:rsidRPr="003E0AEE">
          <w:rPr>
            <w:rStyle w:val="Hyperlink"/>
            <w:noProof/>
          </w:rPr>
          <w:t>Data and Specimen Storage for Future Research</w:t>
        </w:r>
        <w:r w:rsidR="00AE68A2">
          <w:rPr>
            <w:noProof/>
            <w:webHidden/>
          </w:rPr>
          <w:tab/>
        </w:r>
        <w:r w:rsidR="00AE68A2">
          <w:rPr>
            <w:noProof/>
            <w:webHidden/>
          </w:rPr>
          <w:fldChar w:fldCharType="begin"/>
        </w:r>
        <w:r w:rsidR="00AE68A2">
          <w:rPr>
            <w:noProof/>
            <w:webHidden/>
          </w:rPr>
          <w:instrText xml:space="preserve"> PAGEREF _Toc18064204 \h </w:instrText>
        </w:r>
        <w:r w:rsidR="00AE68A2">
          <w:rPr>
            <w:noProof/>
            <w:webHidden/>
          </w:rPr>
        </w:r>
        <w:r w:rsidR="00AE68A2">
          <w:rPr>
            <w:noProof/>
            <w:webHidden/>
          </w:rPr>
          <w:fldChar w:fldCharType="separate"/>
        </w:r>
        <w:r w:rsidR="00AE68A2">
          <w:rPr>
            <w:noProof/>
            <w:webHidden/>
          </w:rPr>
          <w:t>6</w:t>
        </w:r>
        <w:r w:rsidR="00AE68A2">
          <w:rPr>
            <w:noProof/>
            <w:webHidden/>
          </w:rPr>
          <w:fldChar w:fldCharType="end"/>
        </w:r>
      </w:hyperlink>
    </w:p>
    <w:p w14:paraId="61D5C674" w14:textId="77E9799C"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5" w:history="1">
        <w:r w:rsidR="00AE68A2" w:rsidRPr="003E0AEE">
          <w:rPr>
            <w:rStyle w:val="Hyperlink"/>
            <w:noProof/>
          </w:rPr>
          <w:t>8.0</w:t>
        </w:r>
        <w:r w:rsidR="00AE68A2">
          <w:rPr>
            <w:rFonts w:asciiTheme="minorHAnsi" w:eastAsiaTheme="minorEastAsia" w:hAnsiTheme="minorHAnsi" w:cstheme="minorBidi"/>
            <w:noProof/>
            <w:sz w:val="22"/>
            <w:szCs w:val="22"/>
          </w:rPr>
          <w:tab/>
        </w:r>
        <w:r w:rsidR="00AE68A2" w:rsidRPr="003E0AEE">
          <w:rPr>
            <w:rStyle w:val="Hyperlink"/>
            <w:noProof/>
          </w:rPr>
          <w:t>Sharing of Results with Subjects</w:t>
        </w:r>
        <w:r w:rsidR="00AE68A2">
          <w:rPr>
            <w:noProof/>
            <w:webHidden/>
          </w:rPr>
          <w:tab/>
        </w:r>
        <w:r w:rsidR="00AE68A2">
          <w:rPr>
            <w:noProof/>
            <w:webHidden/>
          </w:rPr>
          <w:fldChar w:fldCharType="begin"/>
        </w:r>
        <w:r w:rsidR="00AE68A2">
          <w:rPr>
            <w:noProof/>
            <w:webHidden/>
          </w:rPr>
          <w:instrText xml:space="preserve"> PAGEREF _Toc18064205 \h </w:instrText>
        </w:r>
        <w:r w:rsidR="00AE68A2">
          <w:rPr>
            <w:noProof/>
            <w:webHidden/>
          </w:rPr>
        </w:r>
        <w:r w:rsidR="00AE68A2">
          <w:rPr>
            <w:noProof/>
            <w:webHidden/>
          </w:rPr>
          <w:fldChar w:fldCharType="separate"/>
        </w:r>
        <w:r w:rsidR="00AE68A2">
          <w:rPr>
            <w:noProof/>
            <w:webHidden/>
          </w:rPr>
          <w:t>6</w:t>
        </w:r>
        <w:r w:rsidR="00AE68A2">
          <w:rPr>
            <w:noProof/>
            <w:webHidden/>
          </w:rPr>
          <w:fldChar w:fldCharType="end"/>
        </w:r>
      </w:hyperlink>
    </w:p>
    <w:p w14:paraId="612B3B10" w14:textId="34FE175A"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6" w:history="1">
        <w:r w:rsidR="00AE68A2" w:rsidRPr="003E0AEE">
          <w:rPr>
            <w:rStyle w:val="Hyperlink"/>
            <w:noProof/>
          </w:rPr>
          <w:t>9.0</w:t>
        </w:r>
        <w:r w:rsidR="00AE68A2">
          <w:rPr>
            <w:rFonts w:asciiTheme="minorHAnsi" w:eastAsiaTheme="minorEastAsia" w:hAnsiTheme="minorHAnsi" w:cstheme="minorBidi"/>
            <w:noProof/>
            <w:sz w:val="22"/>
            <w:szCs w:val="22"/>
          </w:rPr>
          <w:tab/>
        </w:r>
        <w:r w:rsidR="00AE68A2" w:rsidRPr="003E0AEE">
          <w:rPr>
            <w:rStyle w:val="Hyperlink"/>
            <w:noProof/>
          </w:rPr>
          <w:t>Study Timelines</w:t>
        </w:r>
        <w:r w:rsidR="00AE68A2">
          <w:rPr>
            <w:noProof/>
            <w:webHidden/>
          </w:rPr>
          <w:tab/>
        </w:r>
        <w:r w:rsidR="00AE68A2">
          <w:rPr>
            <w:noProof/>
            <w:webHidden/>
          </w:rPr>
          <w:fldChar w:fldCharType="begin"/>
        </w:r>
        <w:r w:rsidR="00AE68A2">
          <w:rPr>
            <w:noProof/>
            <w:webHidden/>
          </w:rPr>
          <w:instrText xml:space="preserve"> PAGEREF _Toc18064206 \h </w:instrText>
        </w:r>
        <w:r w:rsidR="00AE68A2">
          <w:rPr>
            <w:noProof/>
            <w:webHidden/>
          </w:rPr>
        </w:r>
        <w:r w:rsidR="00AE68A2">
          <w:rPr>
            <w:noProof/>
            <w:webHidden/>
          </w:rPr>
          <w:fldChar w:fldCharType="separate"/>
        </w:r>
        <w:r w:rsidR="00AE68A2">
          <w:rPr>
            <w:noProof/>
            <w:webHidden/>
          </w:rPr>
          <w:t>7</w:t>
        </w:r>
        <w:r w:rsidR="00AE68A2">
          <w:rPr>
            <w:noProof/>
            <w:webHidden/>
          </w:rPr>
          <w:fldChar w:fldCharType="end"/>
        </w:r>
      </w:hyperlink>
    </w:p>
    <w:p w14:paraId="5285B65E" w14:textId="04947B37"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7" w:history="1">
        <w:r w:rsidR="00AE68A2" w:rsidRPr="003E0AEE">
          <w:rPr>
            <w:rStyle w:val="Hyperlink"/>
            <w:bCs/>
            <w:noProof/>
          </w:rPr>
          <w:t>10.0</w:t>
        </w:r>
        <w:r w:rsidR="00AE68A2">
          <w:rPr>
            <w:rFonts w:asciiTheme="minorHAnsi" w:eastAsiaTheme="minorEastAsia" w:hAnsiTheme="minorHAnsi" w:cstheme="minorBidi"/>
            <w:noProof/>
            <w:sz w:val="22"/>
            <w:szCs w:val="22"/>
          </w:rPr>
          <w:tab/>
        </w:r>
        <w:r w:rsidR="00AE68A2" w:rsidRPr="003E0AEE">
          <w:rPr>
            <w:rStyle w:val="Hyperlink"/>
            <w:noProof/>
          </w:rPr>
          <w:t>Inclusion and Exclusion Criteria</w:t>
        </w:r>
        <w:r w:rsidR="00AE68A2">
          <w:rPr>
            <w:noProof/>
            <w:webHidden/>
          </w:rPr>
          <w:tab/>
        </w:r>
        <w:r w:rsidR="00AE68A2">
          <w:rPr>
            <w:noProof/>
            <w:webHidden/>
          </w:rPr>
          <w:fldChar w:fldCharType="begin"/>
        </w:r>
        <w:r w:rsidR="00AE68A2">
          <w:rPr>
            <w:noProof/>
            <w:webHidden/>
          </w:rPr>
          <w:instrText xml:space="preserve"> PAGEREF _Toc18064207 \h </w:instrText>
        </w:r>
        <w:r w:rsidR="00AE68A2">
          <w:rPr>
            <w:noProof/>
            <w:webHidden/>
          </w:rPr>
        </w:r>
        <w:r w:rsidR="00AE68A2">
          <w:rPr>
            <w:noProof/>
            <w:webHidden/>
          </w:rPr>
          <w:fldChar w:fldCharType="separate"/>
        </w:r>
        <w:r w:rsidR="00AE68A2">
          <w:rPr>
            <w:noProof/>
            <w:webHidden/>
          </w:rPr>
          <w:t>7</w:t>
        </w:r>
        <w:r w:rsidR="00AE68A2">
          <w:rPr>
            <w:noProof/>
            <w:webHidden/>
          </w:rPr>
          <w:fldChar w:fldCharType="end"/>
        </w:r>
      </w:hyperlink>
    </w:p>
    <w:p w14:paraId="6EB22104" w14:textId="19201732"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8" w:history="1">
        <w:r w:rsidR="00AE68A2" w:rsidRPr="003E0AEE">
          <w:rPr>
            <w:rStyle w:val="Hyperlink"/>
            <w:noProof/>
          </w:rPr>
          <w:t>11.0</w:t>
        </w:r>
        <w:r w:rsidR="00AE68A2">
          <w:rPr>
            <w:rFonts w:asciiTheme="minorHAnsi" w:eastAsiaTheme="minorEastAsia" w:hAnsiTheme="minorHAnsi" w:cstheme="minorBidi"/>
            <w:noProof/>
            <w:sz w:val="22"/>
            <w:szCs w:val="22"/>
          </w:rPr>
          <w:tab/>
        </w:r>
        <w:r w:rsidR="00AE68A2" w:rsidRPr="003E0AEE">
          <w:rPr>
            <w:rStyle w:val="Hyperlink"/>
            <w:noProof/>
          </w:rPr>
          <w:t>Vulnerable Populations</w:t>
        </w:r>
        <w:r w:rsidR="00AE68A2">
          <w:rPr>
            <w:noProof/>
            <w:webHidden/>
          </w:rPr>
          <w:tab/>
        </w:r>
        <w:r w:rsidR="00AE68A2">
          <w:rPr>
            <w:noProof/>
            <w:webHidden/>
          </w:rPr>
          <w:fldChar w:fldCharType="begin"/>
        </w:r>
        <w:r w:rsidR="00AE68A2">
          <w:rPr>
            <w:noProof/>
            <w:webHidden/>
          </w:rPr>
          <w:instrText xml:space="preserve"> PAGEREF _Toc18064208 \h </w:instrText>
        </w:r>
        <w:r w:rsidR="00AE68A2">
          <w:rPr>
            <w:noProof/>
            <w:webHidden/>
          </w:rPr>
        </w:r>
        <w:r w:rsidR="00AE68A2">
          <w:rPr>
            <w:noProof/>
            <w:webHidden/>
          </w:rPr>
          <w:fldChar w:fldCharType="separate"/>
        </w:r>
        <w:r w:rsidR="00AE68A2">
          <w:rPr>
            <w:noProof/>
            <w:webHidden/>
          </w:rPr>
          <w:t>7</w:t>
        </w:r>
        <w:r w:rsidR="00AE68A2">
          <w:rPr>
            <w:noProof/>
            <w:webHidden/>
          </w:rPr>
          <w:fldChar w:fldCharType="end"/>
        </w:r>
      </w:hyperlink>
    </w:p>
    <w:p w14:paraId="42A993BC" w14:textId="30F56EFD"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09" w:history="1">
        <w:r w:rsidR="00AE68A2" w:rsidRPr="003E0AEE">
          <w:rPr>
            <w:rStyle w:val="Hyperlink"/>
            <w:bCs/>
            <w:noProof/>
          </w:rPr>
          <w:t>12.0</w:t>
        </w:r>
        <w:r w:rsidR="00AE68A2">
          <w:rPr>
            <w:rFonts w:asciiTheme="minorHAnsi" w:eastAsiaTheme="minorEastAsia" w:hAnsiTheme="minorHAnsi" w:cstheme="minorBidi"/>
            <w:noProof/>
            <w:sz w:val="22"/>
            <w:szCs w:val="22"/>
          </w:rPr>
          <w:tab/>
        </w:r>
        <w:r w:rsidR="00AE68A2" w:rsidRPr="003E0AEE">
          <w:rPr>
            <w:rStyle w:val="Hyperlink"/>
            <w:noProof/>
          </w:rPr>
          <w:t>Local Number of Subjects</w:t>
        </w:r>
        <w:r w:rsidR="00AE68A2">
          <w:rPr>
            <w:noProof/>
            <w:webHidden/>
          </w:rPr>
          <w:tab/>
        </w:r>
        <w:r w:rsidR="00AE68A2">
          <w:rPr>
            <w:noProof/>
            <w:webHidden/>
          </w:rPr>
          <w:fldChar w:fldCharType="begin"/>
        </w:r>
        <w:r w:rsidR="00AE68A2">
          <w:rPr>
            <w:noProof/>
            <w:webHidden/>
          </w:rPr>
          <w:instrText xml:space="preserve"> PAGEREF _Toc18064209 \h </w:instrText>
        </w:r>
        <w:r w:rsidR="00AE68A2">
          <w:rPr>
            <w:noProof/>
            <w:webHidden/>
          </w:rPr>
        </w:r>
        <w:r w:rsidR="00AE68A2">
          <w:rPr>
            <w:noProof/>
            <w:webHidden/>
          </w:rPr>
          <w:fldChar w:fldCharType="separate"/>
        </w:r>
        <w:r w:rsidR="00AE68A2">
          <w:rPr>
            <w:noProof/>
            <w:webHidden/>
          </w:rPr>
          <w:t>7</w:t>
        </w:r>
        <w:r w:rsidR="00AE68A2">
          <w:rPr>
            <w:noProof/>
            <w:webHidden/>
          </w:rPr>
          <w:fldChar w:fldCharType="end"/>
        </w:r>
      </w:hyperlink>
    </w:p>
    <w:p w14:paraId="7E9561BE" w14:textId="46F0956B"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0" w:history="1">
        <w:r w:rsidR="00AE68A2" w:rsidRPr="003E0AEE">
          <w:rPr>
            <w:rStyle w:val="Hyperlink"/>
            <w:bCs/>
            <w:noProof/>
          </w:rPr>
          <w:t>13.0</w:t>
        </w:r>
        <w:r w:rsidR="00AE68A2">
          <w:rPr>
            <w:rFonts w:asciiTheme="minorHAnsi" w:eastAsiaTheme="minorEastAsia" w:hAnsiTheme="minorHAnsi" w:cstheme="minorBidi"/>
            <w:noProof/>
            <w:sz w:val="22"/>
            <w:szCs w:val="22"/>
          </w:rPr>
          <w:tab/>
        </w:r>
        <w:r w:rsidR="00AE68A2" w:rsidRPr="003E0AEE">
          <w:rPr>
            <w:rStyle w:val="Hyperlink"/>
            <w:noProof/>
          </w:rPr>
          <w:t>Recruitment Methods</w:t>
        </w:r>
        <w:r w:rsidR="00AE68A2">
          <w:rPr>
            <w:noProof/>
            <w:webHidden/>
          </w:rPr>
          <w:tab/>
        </w:r>
        <w:r w:rsidR="00AE68A2">
          <w:rPr>
            <w:noProof/>
            <w:webHidden/>
          </w:rPr>
          <w:fldChar w:fldCharType="begin"/>
        </w:r>
        <w:r w:rsidR="00AE68A2">
          <w:rPr>
            <w:noProof/>
            <w:webHidden/>
          </w:rPr>
          <w:instrText xml:space="preserve"> PAGEREF _Toc18064210 \h </w:instrText>
        </w:r>
        <w:r w:rsidR="00AE68A2">
          <w:rPr>
            <w:noProof/>
            <w:webHidden/>
          </w:rPr>
        </w:r>
        <w:r w:rsidR="00AE68A2">
          <w:rPr>
            <w:noProof/>
            <w:webHidden/>
          </w:rPr>
          <w:fldChar w:fldCharType="separate"/>
        </w:r>
        <w:r w:rsidR="00AE68A2">
          <w:rPr>
            <w:noProof/>
            <w:webHidden/>
          </w:rPr>
          <w:t>8</w:t>
        </w:r>
        <w:r w:rsidR="00AE68A2">
          <w:rPr>
            <w:noProof/>
            <w:webHidden/>
          </w:rPr>
          <w:fldChar w:fldCharType="end"/>
        </w:r>
      </w:hyperlink>
    </w:p>
    <w:p w14:paraId="43D3BD0B" w14:textId="2F666865"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1" w:history="1">
        <w:r w:rsidR="00AE68A2" w:rsidRPr="003E0AEE">
          <w:rPr>
            <w:rStyle w:val="Hyperlink"/>
            <w:noProof/>
          </w:rPr>
          <w:t>14.0</w:t>
        </w:r>
        <w:r w:rsidR="00AE68A2">
          <w:rPr>
            <w:rFonts w:asciiTheme="minorHAnsi" w:eastAsiaTheme="minorEastAsia" w:hAnsiTheme="minorHAnsi" w:cstheme="minorBidi"/>
            <w:noProof/>
            <w:sz w:val="22"/>
            <w:szCs w:val="22"/>
          </w:rPr>
          <w:tab/>
        </w:r>
        <w:r w:rsidR="00AE68A2" w:rsidRPr="003E0AEE">
          <w:rPr>
            <w:rStyle w:val="Hyperlink"/>
            <w:noProof/>
          </w:rPr>
          <w:t>Withdrawal of Subjects</w:t>
        </w:r>
        <w:r w:rsidR="00AE68A2">
          <w:rPr>
            <w:noProof/>
            <w:webHidden/>
          </w:rPr>
          <w:tab/>
        </w:r>
        <w:r w:rsidR="00AE68A2">
          <w:rPr>
            <w:noProof/>
            <w:webHidden/>
          </w:rPr>
          <w:fldChar w:fldCharType="begin"/>
        </w:r>
        <w:r w:rsidR="00AE68A2">
          <w:rPr>
            <w:noProof/>
            <w:webHidden/>
          </w:rPr>
          <w:instrText xml:space="preserve"> PAGEREF _Toc18064211 \h </w:instrText>
        </w:r>
        <w:r w:rsidR="00AE68A2">
          <w:rPr>
            <w:noProof/>
            <w:webHidden/>
          </w:rPr>
        </w:r>
        <w:r w:rsidR="00AE68A2">
          <w:rPr>
            <w:noProof/>
            <w:webHidden/>
          </w:rPr>
          <w:fldChar w:fldCharType="separate"/>
        </w:r>
        <w:r w:rsidR="00AE68A2">
          <w:rPr>
            <w:noProof/>
            <w:webHidden/>
          </w:rPr>
          <w:t>8</w:t>
        </w:r>
        <w:r w:rsidR="00AE68A2">
          <w:rPr>
            <w:noProof/>
            <w:webHidden/>
          </w:rPr>
          <w:fldChar w:fldCharType="end"/>
        </w:r>
      </w:hyperlink>
    </w:p>
    <w:p w14:paraId="2D083520" w14:textId="6964F6DE"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2" w:history="1">
        <w:r w:rsidR="00AE68A2" w:rsidRPr="003E0AEE">
          <w:rPr>
            <w:rStyle w:val="Hyperlink"/>
            <w:noProof/>
          </w:rPr>
          <w:t>15.0</w:t>
        </w:r>
        <w:r w:rsidR="00AE68A2">
          <w:rPr>
            <w:rFonts w:asciiTheme="minorHAnsi" w:eastAsiaTheme="minorEastAsia" w:hAnsiTheme="minorHAnsi" w:cstheme="minorBidi"/>
            <w:noProof/>
            <w:sz w:val="22"/>
            <w:szCs w:val="22"/>
          </w:rPr>
          <w:tab/>
        </w:r>
        <w:r w:rsidR="00AE68A2" w:rsidRPr="003E0AEE">
          <w:rPr>
            <w:rStyle w:val="Hyperlink"/>
            <w:noProof/>
          </w:rPr>
          <w:t>Risks to Subjects</w:t>
        </w:r>
        <w:r w:rsidR="00AE68A2">
          <w:rPr>
            <w:noProof/>
            <w:webHidden/>
          </w:rPr>
          <w:tab/>
        </w:r>
        <w:r w:rsidR="00AE68A2">
          <w:rPr>
            <w:noProof/>
            <w:webHidden/>
          </w:rPr>
          <w:fldChar w:fldCharType="begin"/>
        </w:r>
        <w:r w:rsidR="00AE68A2">
          <w:rPr>
            <w:noProof/>
            <w:webHidden/>
          </w:rPr>
          <w:instrText xml:space="preserve"> PAGEREF _Toc18064212 \h </w:instrText>
        </w:r>
        <w:r w:rsidR="00AE68A2">
          <w:rPr>
            <w:noProof/>
            <w:webHidden/>
          </w:rPr>
        </w:r>
        <w:r w:rsidR="00AE68A2">
          <w:rPr>
            <w:noProof/>
            <w:webHidden/>
          </w:rPr>
          <w:fldChar w:fldCharType="separate"/>
        </w:r>
        <w:r w:rsidR="00AE68A2">
          <w:rPr>
            <w:noProof/>
            <w:webHidden/>
          </w:rPr>
          <w:t>8</w:t>
        </w:r>
        <w:r w:rsidR="00AE68A2">
          <w:rPr>
            <w:noProof/>
            <w:webHidden/>
          </w:rPr>
          <w:fldChar w:fldCharType="end"/>
        </w:r>
      </w:hyperlink>
    </w:p>
    <w:p w14:paraId="2EEAD635" w14:textId="682082C5"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3" w:history="1">
        <w:r w:rsidR="00AE68A2" w:rsidRPr="003E0AEE">
          <w:rPr>
            <w:rStyle w:val="Hyperlink"/>
            <w:noProof/>
          </w:rPr>
          <w:t>16.0</w:t>
        </w:r>
        <w:r w:rsidR="00AE68A2">
          <w:rPr>
            <w:rFonts w:asciiTheme="minorHAnsi" w:eastAsiaTheme="minorEastAsia" w:hAnsiTheme="minorHAnsi" w:cstheme="minorBidi"/>
            <w:noProof/>
            <w:sz w:val="22"/>
            <w:szCs w:val="22"/>
          </w:rPr>
          <w:tab/>
        </w:r>
        <w:r w:rsidR="00AE68A2" w:rsidRPr="003E0AEE">
          <w:rPr>
            <w:rStyle w:val="Hyperlink"/>
            <w:noProof/>
          </w:rPr>
          <w:t>Potential Benefits to Subjects or Others</w:t>
        </w:r>
        <w:r w:rsidR="00AE68A2">
          <w:rPr>
            <w:noProof/>
            <w:webHidden/>
          </w:rPr>
          <w:tab/>
        </w:r>
        <w:r w:rsidR="00AE68A2">
          <w:rPr>
            <w:noProof/>
            <w:webHidden/>
          </w:rPr>
          <w:fldChar w:fldCharType="begin"/>
        </w:r>
        <w:r w:rsidR="00AE68A2">
          <w:rPr>
            <w:noProof/>
            <w:webHidden/>
          </w:rPr>
          <w:instrText xml:space="preserve"> PAGEREF _Toc18064213 \h </w:instrText>
        </w:r>
        <w:r w:rsidR="00AE68A2">
          <w:rPr>
            <w:noProof/>
            <w:webHidden/>
          </w:rPr>
        </w:r>
        <w:r w:rsidR="00AE68A2">
          <w:rPr>
            <w:noProof/>
            <w:webHidden/>
          </w:rPr>
          <w:fldChar w:fldCharType="separate"/>
        </w:r>
        <w:r w:rsidR="00AE68A2">
          <w:rPr>
            <w:noProof/>
            <w:webHidden/>
          </w:rPr>
          <w:t>8</w:t>
        </w:r>
        <w:r w:rsidR="00AE68A2">
          <w:rPr>
            <w:noProof/>
            <w:webHidden/>
          </w:rPr>
          <w:fldChar w:fldCharType="end"/>
        </w:r>
      </w:hyperlink>
    </w:p>
    <w:p w14:paraId="022870F8" w14:textId="71A38183"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4" w:history="1">
        <w:r w:rsidR="00AE68A2" w:rsidRPr="003E0AEE">
          <w:rPr>
            <w:rStyle w:val="Hyperlink"/>
            <w:noProof/>
          </w:rPr>
          <w:t>17.0</w:t>
        </w:r>
        <w:r w:rsidR="00AE68A2">
          <w:rPr>
            <w:rFonts w:asciiTheme="minorHAnsi" w:eastAsiaTheme="minorEastAsia" w:hAnsiTheme="minorHAnsi" w:cstheme="minorBidi"/>
            <w:noProof/>
            <w:sz w:val="22"/>
            <w:szCs w:val="22"/>
          </w:rPr>
          <w:tab/>
        </w:r>
        <w:r w:rsidR="00AE68A2" w:rsidRPr="003E0AEE">
          <w:rPr>
            <w:rStyle w:val="Hyperlink"/>
            <w:noProof/>
          </w:rPr>
          <w:t>Data Management and Confidentiality</w:t>
        </w:r>
        <w:r w:rsidR="00AE68A2">
          <w:rPr>
            <w:noProof/>
            <w:webHidden/>
          </w:rPr>
          <w:tab/>
        </w:r>
        <w:r w:rsidR="00AE68A2">
          <w:rPr>
            <w:noProof/>
            <w:webHidden/>
          </w:rPr>
          <w:fldChar w:fldCharType="begin"/>
        </w:r>
        <w:r w:rsidR="00AE68A2">
          <w:rPr>
            <w:noProof/>
            <w:webHidden/>
          </w:rPr>
          <w:instrText xml:space="preserve"> PAGEREF _Toc18064214 \h </w:instrText>
        </w:r>
        <w:r w:rsidR="00AE68A2">
          <w:rPr>
            <w:noProof/>
            <w:webHidden/>
          </w:rPr>
        </w:r>
        <w:r w:rsidR="00AE68A2">
          <w:rPr>
            <w:noProof/>
            <w:webHidden/>
          </w:rPr>
          <w:fldChar w:fldCharType="separate"/>
        </w:r>
        <w:r w:rsidR="00AE68A2">
          <w:rPr>
            <w:noProof/>
            <w:webHidden/>
          </w:rPr>
          <w:t>9</w:t>
        </w:r>
        <w:r w:rsidR="00AE68A2">
          <w:rPr>
            <w:noProof/>
            <w:webHidden/>
          </w:rPr>
          <w:fldChar w:fldCharType="end"/>
        </w:r>
      </w:hyperlink>
    </w:p>
    <w:p w14:paraId="64829908" w14:textId="0F7F3623"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5" w:history="1">
        <w:r w:rsidR="00AE68A2" w:rsidRPr="003E0AEE">
          <w:rPr>
            <w:rStyle w:val="Hyperlink"/>
            <w:noProof/>
          </w:rPr>
          <w:t>18.0</w:t>
        </w:r>
        <w:r w:rsidR="00AE68A2">
          <w:rPr>
            <w:rFonts w:asciiTheme="minorHAnsi" w:eastAsiaTheme="minorEastAsia" w:hAnsiTheme="minorHAnsi" w:cstheme="minorBidi"/>
            <w:noProof/>
            <w:sz w:val="22"/>
            <w:szCs w:val="22"/>
          </w:rPr>
          <w:tab/>
        </w:r>
        <w:r w:rsidR="00AE68A2" w:rsidRPr="003E0AEE">
          <w:rPr>
            <w:rStyle w:val="Hyperlink"/>
            <w:noProof/>
          </w:rPr>
          <w:t>Provisions to Monitor the Data to Ensure the Safety of Subjects</w:t>
        </w:r>
        <w:r w:rsidR="00AE68A2">
          <w:rPr>
            <w:noProof/>
            <w:webHidden/>
          </w:rPr>
          <w:tab/>
        </w:r>
        <w:r w:rsidR="00AE68A2">
          <w:rPr>
            <w:noProof/>
            <w:webHidden/>
          </w:rPr>
          <w:fldChar w:fldCharType="begin"/>
        </w:r>
        <w:r w:rsidR="00AE68A2">
          <w:rPr>
            <w:noProof/>
            <w:webHidden/>
          </w:rPr>
          <w:instrText xml:space="preserve"> PAGEREF _Toc18064215 \h </w:instrText>
        </w:r>
        <w:r w:rsidR="00AE68A2">
          <w:rPr>
            <w:noProof/>
            <w:webHidden/>
          </w:rPr>
        </w:r>
        <w:r w:rsidR="00AE68A2">
          <w:rPr>
            <w:noProof/>
            <w:webHidden/>
          </w:rPr>
          <w:fldChar w:fldCharType="separate"/>
        </w:r>
        <w:r w:rsidR="00AE68A2">
          <w:rPr>
            <w:noProof/>
            <w:webHidden/>
          </w:rPr>
          <w:t>10</w:t>
        </w:r>
        <w:r w:rsidR="00AE68A2">
          <w:rPr>
            <w:noProof/>
            <w:webHidden/>
          </w:rPr>
          <w:fldChar w:fldCharType="end"/>
        </w:r>
      </w:hyperlink>
    </w:p>
    <w:p w14:paraId="0135B7EE" w14:textId="5C7AFECA"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7" w:history="1">
        <w:r w:rsidR="00AE68A2" w:rsidRPr="003E0AEE">
          <w:rPr>
            <w:rStyle w:val="Hyperlink"/>
            <w:noProof/>
          </w:rPr>
          <w:t>19.0</w:t>
        </w:r>
        <w:r w:rsidR="00AE68A2">
          <w:rPr>
            <w:rFonts w:asciiTheme="minorHAnsi" w:eastAsiaTheme="minorEastAsia" w:hAnsiTheme="minorHAnsi" w:cstheme="minorBidi"/>
            <w:noProof/>
            <w:sz w:val="22"/>
            <w:szCs w:val="22"/>
          </w:rPr>
          <w:tab/>
        </w:r>
        <w:r w:rsidR="00AE68A2" w:rsidRPr="003E0AEE">
          <w:rPr>
            <w:rStyle w:val="Hyperlink"/>
            <w:noProof/>
          </w:rPr>
          <w:t>Provisions to Protect the Privacy Interests of Subjects</w:t>
        </w:r>
        <w:r w:rsidR="00AE68A2">
          <w:rPr>
            <w:noProof/>
            <w:webHidden/>
          </w:rPr>
          <w:tab/>
        </w:r>
        <w:r w:rsidR="00AE68A2">
          <w:rPr>
            <w:noProof/>
            <w:webHidden/>
          </w:rPr>
          <w:fldChar w:fldCharType="begin"/>
        </w:r>
        <w:r w:rsidR="00AE68A2">
          <w:rPr>
            <w:noProof/>
            <w:webHidden/>
          </w:rPr>
          <w:instrText xml:space="preserve"> PAGEREF _Toc18064217 \h </w:instrText>
        </w:r>
        <w:r w:rsidR="00AE68A2">
          <w:rPr>
            <w:noProof/>
            <w:webHidden/>
          </w:rPr>
        </w:r>
        <w:r w:rsidR="00AE68A2">
          <w:rPr>
            <w:noProof/>
            <w:webHidden/>
          </w:rPr>
          <w:fldChar w:fldCharType="separate"/>
        </w:r>
        <w:r w:rsidR="00AE68A2">
          <w:rPr>
            <w:noProof/>
            <w:webHidden/>
          </w:rPr>
          <w:t>11</w:t>
        </w:r>
        <w:r w:rsidR="00AE68A2">
          <w:rPr>
            <w:noProof/>
            <w:webHidden/>
          </w:rPr>
          <w:fldChar w:fldCharType="end"/>
        </w:r>
      </w:hyperlink>
    </w:p>
    <w:p w14:paraId="04DDDEC9" w14:textId="3D1547AD"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8" w:history="1">
        <w:r w:rsidR="00AE68A2" w:rsidRPr="003E0AEE">
          <w:rPr>
            <w:rStyle w:val="Hyperlink"/>
            <w:noProof/>
          </w:rPr>
          <w:t>20.0</w:t>
        </w:r>
        <w:r w:rsidR="00AE68A2">
          <w:rPr>
            <w:rFonts w:asciiTheme="minorHAnsi" w:eastAsiaTheme="minorEastAsia" w:hAnsiTheme="minorHAnsi" w:cstheme="minorBidi"/>
            <w:noProof/>
            <w:sz w:val="22"/>
            <w:szCs w:val="22"/>
          </w:rPr>
          <w:tab/>
        </w:r>
        <w:r w:rsidR="00AE68A2" w:rsidRPr="003E0AEE">
          <w:rPr>
            <w:rStyle w:val="Hyperlink"/>
            <w:noProof/>
          </w:rPr>
          <w:t>Compensation for Research-Related Injury</w:t>
        </w:r>
        <w:r w:rsidR="00AE68A2">
          <w:rPr>
            <w:noProof/>
            <w:webHidden/>
          </w:rPr>
          <w:tab/>
        </w:r>
        <w:r w:rsidR="00AE68A2">
          <w:rPr>
            <w:noProof/>
            <w:webHidden/>
          </w:rPr>
          <w:fldChar w:fldCharType="begin"/>
        </w:r>
        <w:r w:rsidR="00AE68A2">
          <w:rPr>
            <w:noProof/>
            <w:webHidden/>
          </w:rPr>
          <w:instrText xml:space="preserve"> PAGEREF _Toc18064218 \h </w:instrText>
        </w:r>
        <w:r w:rsidR="00AE68A2">
          <w:rPr>
            <w:noProof/>
            <w:webHidden/>
          </w:rPr>
        </w:r>
        <w:r w:rsidR="00AE68A2">
          <w:rPr>
            <w:noProof/>
            <w:webHidden/>
          </w:rPr>
          <w:fldChar w:fldCharType="separate"/>
        </w:r>
        <w:r w:rsidR="00AE68A2">
          <w:rPr>
            <w:noProof/>
            <w:webHidden/>
          </w:rPr>
          <w:t>11</w:t>
        </w:r>
        <w:r w:rsidR="00AE68A2">
          <w:rPr>
            <w:noProof/>
            <w:webHidden/>
          </w:rPr>
          <w:fldChar w:fldCharType="end"/>
        </w:r>
      </w:hyperlink>
    </w:p>
    <w:p w14:paraId="4EB876C6" w14:textId="57B2BB2D"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19" w:history="1">
        <w:r w:rsidR="00AE68A2" w:rsidRPr="003E0AEE">
          <w:rPr>
            <w:rStyle w:val="Hyperlink"/>
            <w:noProof/>
          </w:rPr>
          <w:t>21.0</w:t>
        </w:r>
        <w:r w:rsidR="00AE68A2">
          <w:rPr>
            <w:rFonts w:asciiTheme="minorHAnsi" w:eastAsiaTheme="minorEastAsia" w:hAnsiTheme="minorHAnsi" w:cstheme="minorBidi"/>
            <w:noProof/>
            <w:sz w:val="22"/>
            <w:szCs w:val="22"/>
          </w:rPr>
          <w:tab/>
        </w:r>
        <w:r w:rsidR="00AE68A2" w:rsidRPr="003E0AEE">
          <w:rPr>
            <w:rStyle w:val="Hyperlink"/>
            <w:noProof/>
          </w:rPr>
          <w:t>Subject Costs and Compensation</w:t>
        </w:r>
        <w:r w:rsidR="00AE68A2">
          <w:rPr>
            <w:noProof/>
            <w:webHidden/>
          </w:rPr>
          <w:tab/>
        </w:r>
        <w:r w:rsidR="00AE68A2">
          <w:rPr>
            <w:noProof/>
            <w:webHidden/>
          </w:rPr>
          <w:fldChar w:fldCharType="begin"/>
        </w:r>
        <w:r w:rsidR="00AE68A2">
          <w:rPr>
            <w:noProof/>
            <w:webHidden/>
          </w:rPr>
          <w:instrText xml:space="preserve"> PAGEREF _Toc18064219 \h </w:instrText>
        </w:r>
        <w:r w:rsidR="00AE68A2">
          <w:rPr>
            <w:noProof/>
            <w:webHidden/>
          </w:rPr>
        </w:r>
        <w:r w:rsidR="00AE68A2">
          <w:rPr>
            <w:noProof/>
            <w:webHidden/>
          </w:rPr>
          <w:fldChar w:fldCharType="separate"/>
        </w:r>
        <w:r w:rsidR="00AE68A2">
          <w:rPr>
            <w:noProof/>
            <w:webHidden/>
          </w:rPr>
          <w:t>11</w:t>
        </w:r>
        <w:r w:rsidR="00AE68A2">
          <w:rPr>
            <w:noProof/>
            <w:webHidden/>
          </w:rPr>
          <w:fldChar w:fldCharType="end"/>
        </w:r>
      </w:hyperlink>
    </w:p>
    <w:p w14:paraId="15B16048" w14:textId="7C2CCD76"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20" w:history="1">
        <w:r w:rsidR="00AE68A2" w:rsidRPr="003E0AEE">
          <w:rPr>
            <w:rStyle w:val="Hyperlink"/>
            <w:noProof/>
          </w:rPr>
          <w:t>22.0</w:t>
        </w:r>
        <w:r w:rsidR="00AE68A2">
          <w:rPr>
            <w:rFonts w:asciiTheme="minorHAnsi" w:eastAsiaTheme="minorEastAsia" w:hAnsiTheme="minorHAnsi" w:cstheme="minorBidi"/>
            <w:noProof/>
            <w:sz w:val="22"/>
            <w:szCs w:val="22"/>
          </w:rPr>
          <w:tab/>
        </w:r>
        <w:r w:rsidR="00AE68A2" w:rsidRPr="003E0AEE">
          <w:rPr>
            <w:rStyle w:val="Hyperlink"/>
            <w:noProof/>
          </w:rPr>
          <w:t>Consent Process</w:t>
        </w:r>
        <w:r w:rsidR="00AE68A2">
          <w:rPr>
            <w:noProof/>
            <w:webHidden/>
          </w:rPr>
          <w:tab/>
        </w:r>
        <w:r w:rsidR="00AE68A2">
          <w:rPr>
            <w:noProof/>
            <w:webHidden/>
          </w:rPr>
          <w:fldChar w:fldCharType="begin"/>
        </w:r>
        <w:r w:rsidR="00AE68A2">
          <w:rPr>
            <w:noProof/>
            <w:webHidden/>
          </w:rPr>
          <w:instrText xml:space="preserve"> PAGEREF _Toc18064220 \h </w:instrText>
        </w:r>
        <w:r w:rsidR="00AE68A2">
          <w:rPr>
            <w:noProof/>
            <w:webHidden/>
          </w:rPr>
        </w:r>
        <w:r w:rsidR="00AE68A2">
          <w:rPr>
            <w:noProof/>
            <w:webHidden/>
          </w:rPr>
          <w:fldChar w:fldCharType="separate"/>
        </w:r>
        <w:r w:rsidR="00AE68A2">
          <w:rPr>
            <w:noProof/>
            <w:webHidden/>
          </w:rPr>
          <w:t>11</w:t>
        </w:r>
        <w:r w:rsidR="00AE68A2">
          <w:rPr>
            <w:noProof/>
            <w:webHidden/>
          </w:rPr>
          <w:fldChar w:fldCharType="end"/>
        </w:r>
      </w:hyperlink>
    </w:p>
    <w:p w14:paraId="50C77648" w14:textId="363EF5A1" w:rsidR="00AE68A2" w:rsidRDefault="004E335B">
      <w:pPr>
        <w:pStyle w:val="TOC1"/>
        <w:tabs>
          <w:tab w:val="left" w:pos="660"/>
          <w:tab w:val="right" w:leader="dot" w:pos="8630"/>
        </w:tabs>
        <w:rPr>
          <w:rFonts w:asciiTheme="minorHAnsi" w:eastAsiaTheme="minorEastAsia" w:hAnsiTheme="minorHAnsi" w:cstheme="minorBidi"/>
          <w:noProof/>
          <w:sz w:val="22"/>
          <w:szCs w:val="22"/>
        </w:rPr>
      </w:pPr>
      <w:hyperlink w:anchor="_Toc18064221" w:history="1">
        <w:r w:rsidR="00AE68A2" w:rsidRPr="003E0AEE">
          <w:rPr>
            <w:rStyle w:val="Hyperlink"/>
            <w:noProof/>
          </w:rPr>
          <w:t>23.0</w:t>
        </w:r>
        <w:r w:rsidR="00AE68A2">
          <w:rPr>
            <w:rFonts w:asciiTheme="minorHAnsi" w:eastAsiaTheme="minorEastAsia" w:hAnsiTheme="minorHAnsi" w:cstheme="minorBidi"/>
            <w:noProof/>
            <w:sz w:val="22"/>
            <w:szCs w:val="22"/>
          </w:rPr>
          <w:tab/>
        </w:r>
        <w:r w:rsidR="00AE68A2" w:rsidRPr="003E0AEE">
          <w:rPr>
            <w:rStyle w:val="Hyperlink"/>
            <w:noProof/>
          </w:rPr>
          <w:t>Setting</w:t>
        </w:r>
        <w:r w:rsidR="00AE68A2">
          <w:rPr>
            <w:noProof/>
            <w:webHidden/>
          </w:rPr>
          <w:tab/>
        </w:r>
        <w:r w:rsidR="00AE68A2">
          <w:rPr>
            <w:noProof/>
            <w:webHidden/>
          </w:rPr>
          <w:fldChar w:fldCharType="begin"/>
        </w:r>
        <w:r w:rsidR="00AE68A2">
          <w:rPr>
            <w:noProof/>
            <w:webHidden/>
          </w:rPr>
          <w:instrText xml:space="preserve"> PAGEREF _Toc18064221 \h </w:instrText>
        </w:r>
        <w:r w:rsidR="00AE68A2">
          <w:rPr>
            <w:noProof/>
            <w:webHidden/>
          </w:rPr>
        </w:r>
        <w:r w:rsidR="00AE68A2">
          <w:rPr>
            <w:noProof/>
            <w:webHidden/>
          </w:rPr>
          <w:fldChar w:fldCharType="separate"/>
        </w:r>
        <w:r w:rsidR="00AE68A2">
          <w:rPr>
            <w:noProof/>
            <w:webHidden/>
          </w:rPr>
          <w:t>13</w:t>
        </w:r>
        <w:r w:rsidR="00AE68A2">
          <w:rPr>
            <w:noProof/>
            <w:webHidden/>
          </w:rPr>
          <w:fldChar w:fldCharType="end"/>
        </w:r>
      </w:hyperlink>
    </w:p>
    <w:p w14:paraId="0031B85D" w14:textId="64F453D2" w:rsidR="00F6236C" w:rsidRDefault="001C7854" w:rsidP="004A1A96">
      <w:pPr>
        <w:rPr>
          <w:rFonts w:ascii="Times New Roman" w:hAnsi="Times New Roman"/>
          <w:b/>
          <w:sz w:val="28"/>
          <w:szCs w:val="28"/>
        </w:rPr>
      </w:pPr>
      <w:r>
        <w:rPr>
          <w:b/>
          <w:bCs/>
          <w:noProof/>
        </w:rPr>
        <w:fldChar w:fldCharType="end"/>
      </w:r>
      <w:r w:rsidR="00F6236C">
        <w:br w:type="page"/>
      </w:r>
    </w:p>
    <w:p w14:paraId="4B0279FE" w14:textId="77777777" w:rsidR="00A50E62" w:rsidRDefault="00F6236C" w:rsidP="004A1A96">
      <w:pPr>
        <w:pStyle w:val="Heading1"/>
      </w:pPr>
      <w:bookmarkStart w:id="1" w:name="_Toc18064198"/>
      <w:r>
        <w:lastRenderedPageBreak/>
        <w:t>Study Summary</w:t>
      </w:r>
      <w:bookmarkEnd w:id="1"/>
      <w:r w:rsidR="00827030">
        <w:t xml:space="preserve"> </w:t>
      </w:r>
    </w:p>
    <w:p w14:paraId="60AF1578" w14:textId="77777777" w:rsidR="00A50E62" w:rsidRPr="00A50E62" w:rsidRDefault="00A50E62" w:rsidP="004A1A96">
      <w:pPr>
        <w:ind w:left="720"/>
      </w:pPr>
    </w:p>
    <w:p w14:paraId="0E7A89E0" w14:textId="30D9EF10" w:rsidR="00F6236C" w:rsidRDefault="00451052" w:rsidP="00877FD7">
      <w:pPr>
        <w:rPr>
          <w:i/>
        </w:rPr>
      </w:pPr>
      <w:r>
        <w:t xml:space="preserve">1.1 </w:t>
      </w:r>
    </w:p>
    <w:p w14:paraId="07B11C11" w14:textId="77777777" w:rsidR="00032557" w:rsidRPr="00032557" w:rsidRDefault="00032557" w:rsidP="00032557">
      <w:pPr>
        <w:pStyle w:val="Default"/>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14:paraId="318CC2E8" w14:textId="77777777" w:rsidTr="00DF71A6">
        <w:tc>
          <w:tcPr>
            <w:tcW w:w="2515" w:type="dxa"/>
          </w:tcPr>
          <w:p w14:paraId="669F8286" w14:textId="77777777" w:rsidR="00F6236C" w:rsidRDefault="00F6236C" w:rsidP="004A1A96">
            <w:r>
              <w:rPr>
                <w:rFonts w:ascii="Times New Roman" w:hAnsi="Times New Roman"/>
                <w:b/>
              </w:rPr>
              <w:t>Study Title</w:t>
            </w:r>
          </w:p>
        </w:tc>
        <w:tc>
          <w:tcPr>
            <w:tcW w:w="6115" w:type="dxa"/>
          </w:tcPr>
          <w:p w14:paraId="105F42A7" w14:textId="4E7FC03F" w:rsidR="00F6236C" w:rsidRDefault="00EC0A22" w:rsidP="004A1A96">
            <w:r w:rsidRPr="00EC0A22">
              <w:t xml:space="preserve">Rapid Elimination Procedure of Teriflunomide </w:t>
            </w:r>
          </w:p>
        </w:tc>
      </w:tr>
      <w:tr w:rsidR="00F6236C" w14:paraId="7AE26044" w14:textId="77777777" w:rsidTr="00DF71A6">
        <w:tc>
          <w:tcPr>
            <w:tcW w:w="2515" w:type="dxa"/>
          </w:tcPr>
          <w:p w14:paraId="001E07A4" w14:textId="77777777" w:rsidR="00F6236C" w:rsidRDefault="00F6236C" w:rsidP="004A1A96">
            <w:r>
              <w:rPr>
                <w:rFonts w:ascii="Times New Roman" w:hAnsi="Times New Roman"/>
                <w:b/>
              </w:rPr>
              <w:t>Study Design</w:t>
            </w:r>
          </w:p>
        </w:tc>
        <w:tc>
          <w:tcPr>
            <w:tcW w:w="6115" w:type="dxa"/>
          </w:tcPr>
          <w:p w14:paraId="1B17CB63" w14:textId="25D1A511" w:rsidR="00F6236C" w:rsidRDefault="005F2C27" w:rsidP="009D5FA8">
            <w:r w:rsidRPr="005F2C27">
              <w:t>Non-randomized, two-period, two-treatment, single sequence PK interaction study</w:t>
            </w:r>
            <w:r>
              <w:t>.</w:t>
            </w:r>
          </w:p>
        </w:tc>
      </w:tr>
      <w:tr w:rsidR="00F6236C" w14:paraId="53EEF94B" w14:textId="77777777" w:rsidTr="008E2408">
        <w:trPr>
          <w:trHeight w:val="683"/>
        </w:trPr>
        <w:tc>
          <w:tcPr>
            <w:tcW w:w="2515" w:type="dxa"/>
          </w:tcPr>
          <w:p w14:paraId="59940DFB" w14:textId="6ED99D3E" w:rsidR="00F6236C" w:rsidRDefault="00F6236C" w:rsidP="004A1A96">
            <w:r>
              <w:rPr>
                <w:rFonts w:ascii="Times New Roman" w:hAnsi="Times New Roman"/>
                <w:b/>
              </w:rPr>
              <w:t>Primary Objective</w:t>
            </w:r>
            <w:r w:rsidR="00E27624">
              <w:rPr>
                <w:rFonts w:ascii="Times New Roman" w:hAnsi="Times New Roman"/>
                <w:b/>
              </w:rPr>
              <w:t>/Purpose</w:t>
            </w:r>
          </w:p>
        </w:tc>
        <w:tc>
          <w:tcPr>
            <w:tcW w:w="6115" w:type="dxa"/>
          </w:tcPr>
          <w:p w14:paraId="1FE94B00" w14:textId="584CC2E0" w:rsidR="00F6236C" w:rsidRDefault="008E2408" w:rsidP="004A1A96">
            <w:r w:rsidRPr="008E2408">
              <w:t>To determine if colestipol hydrochloride tablets can accelerate the elimination of teriflunomide.</w:t>
            </w:r>
          </w:p>
        </w:tc>
      </w:tr>
      <w:tr w:rsidR="00F6236C" w14:paraId="65F5CA6F" w14:textId="77777777" w:rsidTr="00DF71A6">
        <w:tc>
          <w:tcPr>
            <w:tcW w:w="2515" w:type="dxa"/>
          </w:tcPr>
          <w:p w14:paraId="11DE983A" w14:textId="519BC0EA" w:rsidR="00F6236C" w:rsidRDefault="00F6236C" w:rsidP="004A1A96">
            <w:r>
              <w:rPr>
                <w:rFonts w:ascii="Times New Roman" w:hAnsi="Times New Roman"/>
                <w:b/>
              </w:rPr>
              <w:t>Secondary Objective(s)</w:t>
            </w:r>
            <w:r w:rsidR="00E27624">
              <w:rPr>
                <w:rFonts w:ascii="Times New Roman" w:hAnsi="Times New Roman"/>
                <w:b/>
              </w:rPr>
              <w:t>/Purpose</w:t>
            </w:r>
          </w:p>
        </w:tc>
        <w:tc>
          <w:tcPr>
            <w:tcW w:w="6115" w:type="dxa"/>
          </w:tcPr>
          <w:p w14:paraId="2382A4B7" w14:textId="61F93E95" w:rsidR="00F6236C" w:rsidRDefault="008E2408" w:rsidP="004A1A96">
            <w:r w:rsidRPr="008E2408">
              <w:t>To collect information on the pattern of side effects with use of colestipol hydrochloride after teriflunomide administration and to determine the best duration of therapy needed for adequate elimination</w:t>
            </w:r>
          </w:p>
        </w:tc>
      </w:tr>
      <w:tr w:rsidR="00F6236C" w14:paraId="74EE2436" w14:textId="77777777" w:rsidTr="00DF71A6">
        <w:tc>
          <w:tcPr>
            <w:tcW w:w="2515" w:type="dxa"/>
          </w:tcPr>
          <w:p w14:paraId="2163E8E1" w14:textId="77777777" w:rsidR="00F6236C" w:rsidRDefault="00F6236C" w:rsidP="004A1A96">
            <w:r>
              <w:rPr>
                <w:rFonts w:ascii="Times New Roman" w:hAnsi="Times New Roman"/>
                <w:b/>
              </w:rPr>
              <w:t xml:space="preserve">Research Intervention(s)/ Investigational Agent(s) </w:t>
            </w:r>
          </w:p>
        </w:tc>
        <w:tc>
          <w:tcPr>
            <w:tcW w:w="6115" w:type="dxa"/>
          </w:tcPr>
          <w:p w14:paraId="10E9D070" w14:textId="47E04287" w:rsidR="00F6236C" w:rsidRDefault="00B57755" w:rsidP="00B57755">
            <w:r w:rsidRPr="00EC0A22">
              <w:t xml:space="preserve">Teriflunomide </w:t>
            </w:r>
            <w:r>
              <w:t>rapid elimination using colestipol h</w:t>
            </w:r>
            <w:r w:rsidRPr="00EC0A22">
              <w:t>ydrochloride</w:t>
            </w:r>
            <w:r w:rsidR="001342C6">
              <w:t xml:space="preserve">. </w:t>
            </w:r>
          </w:p>
        </w:tc>
      </w:tr>
      <w:tr w:rsidR="00F6236C" w14:paraId="39A5B974" w14:textId="77777777" w:rsidTr="00DF71A6">
        <w:tc>
          <w:tcPr>
            <w:tcW w:w="2515" w:type="dxa"/>
          </w:tcPr>
          <w:p w14:paraId="6EF02F6A" w14:textId="77777777" w:rsidR="00F6236C" w:rsidRDefault="00F6236C" w:rsidP="004A1A96">
            <w:pPr>
              <w:rPr>
                <w:rFonts w:ascii="Times New Roman" w:hAnsi="Times New Roman"/>
                <w:b/>
              </w:rPr>
            </w:pPr>
            <w:r>
              <w:rPr>
                <w:rFonts w:ascii="Times New Roman" w:hAnsi="Times New Roman"/>
                <w:b/>
              </w:rPr>
              <w:t xml:space="preserve">IND/IDE # </w:t>
            </w:r>
          </w:p>
        </w:tc>
        <w:tc>
          <w:tcPr>
            <w:tcW w:w="6115" w:type="dxa"/>
          </w:tcPr>
          <w:p w14:paraId="0F57E2D5" w14:textId="78F9B0B6" w:rsidR="00F6236C" w:rsidRDefault="008E2408" w:rsidP="004A1A96">
            <w:r>
              <w:t>N/A</w:t>
            </w:r>
            <w:r w:rsidR="001C00AA">
              <w:t xml:space="preserve"> – IND Exempt</w:t>
            </w:r>
          </w:p>
        </w:tc>
      </w:tr>
      <w:tr w:rsidR="00365EAC" w14:paraId="75A38A5D" w14:textId="77777777" w:rsidTr="00836680">
        <w:tc>
          <w:tcPr>
            <w:tcW w:w="2515" w:type="dxa"/>
          </w:tcPr>
          <w:p w14:paraId="15EF01A6" w14:textId="77777777" w:rsidR="00365EAC" w:rsidRDefault="00365EAC" w:rsidP="00836680">
            <w:pPr>
              <w:rPr>
                <w:rFonts w:ascii="Times New Roman" w:hAnsi="Times New Roman"/>
                <w:b/>
              </w:rPr>
            </w:pPr>
            <w:r>
              <w:rPr>
                <w:rFonts w:ascii="Times New Roman" w:hAnsi="Times New Roman"/>
                <w:b/>
              </w:rPr>
              <w:t>ClinicalTrials.gov NCT#</w:t>
            </w:r>
          </w:p>
        </w:tc>
        <w:tc>
          <w:tcPr>
            <w:tcW w:w="6115" w:type="dxa"/>
          </w:tcPr>
          <w:p w14:paraId="0D1EE77E" w14:textId="11E855B2" w:rsidR="00365EAC" w:rsidRDefault="008E2408" w:rsidP="00836680">
            <w:r>
              <w:t>Pending</w:t>
            </w:r>
          </w:p>
        </w:tc>
      </w:tr>
      <w:tr w:rsidR="00F6236C" w14:paraId="29B87180" w14:textId="77777777" w:rsidTr="00DF71A6">
        <w:tc>
          <w:tcPr>
            <w:tcW w:w="2515" w:type="dxa"/>
          </w:tcPr>
          <w:p w14:paraId="25C87A33" w14:textId="77777777" w:rsidR="00F6236C" w:rsidRDefault="00F6236C" w:rsidP="004A1A96">
            <w:r>
              <w:rPr>
                <w:rFonts w:ascii="Times New Roman" w:hAnsi="Times New Roman"/>
                <w:b/>
              </w:rPr>
              <w:t>Study Population</w:t>
            </w:r>
          </w:p>
        </w:tc>
        <w:tc>
          <w:tcPr>
            <w:tcW w:w="6115" w:type="dxa"/>
          </w:tcPr>
          <w:p w14:paraId="1704AEF4" w14:textId="2DA9D19F" w:rsidR="00F6236C" w:rsidRDefault="005F2C27" w:rsidP="004A1A96">
            <w:r>
              <w:t>Healthy volunteers 18-45 years of age with a BMI of 18-29</w:t>
            </w:r>
            <w:r w:rsidR="00E03355">
              <w:t xml:space="preserve"> kg/m</w:t>
            </w:r>
            <w:r w:rsidR="00E03355" w:rsidRPr="00484C96">
              <w:rPr>
                <w:vertAlign w:val="superscript"/>
              </w:rPr>
              <w:t>2</w:t>
            </w:r>
          </w:p>
        </w:tc>
      </w:tr>
      <w:tr w:rsidR="00F6236C" w14:paraId="59A106DE" w14:textId="77777777" w:rsidTr="00DF71A6">
        <w:tc>
          <w:tcPr>
            <w:tcW w:w="2515" w:type="dxa"/>
          </w:tcPr>
          <w:p w14:paraId="23E71172" w14:textId="77777777" w:rsidR="00F6236C" w:rsidRDefault="00F6236C" w:rsidP="004A1A96">
            <w:r>
              <w:rPr>
                <w:rFonts w:ascii="Times New Roman" w:hAnsi="Times New Roman"/>
                <w:b/>
              </w:rPr>
              <w:t>Sample Size</w:t>
            </w:r>
          </w:p>
        </w:tc>
        <w:tc>
          <w:tcPr>
            <w:tcW w:w="6115" w:type="dxa"/>
          </w:tcPr>
          <w:p w14:paraId="72950300" w14:textId="777EC63A" w:rsidR="00F6236C" w:rsidRDefault="008E2408" w:rsidP="004A1A96">
            <w:r>
              <w:t>30</w:t>
            </w:r>
          </w:p>
        </w:tc>
      </w:tr>
      <w:tr w:rsidR="00F6236C" w14:paraId="1F996D4E" w14:textId="77777777" w:rsidTr="00406F8D">
        <w:trPr>
          <w:trHeight w:val="656"/>
        </w:trPr>
        <w:tc>
          <w:tcPr>
            <w:tcW w:w="2515" w:type="dxa"/>
          </w:tcPr>
          <w:p w14:paraId="119153D5" w14:textId="7EFD10BD" w:rsidR="00F6236C" w:rsidRDefault="00F6236C" w:rsidP="004A1A96">
            <w:r>
              <w:rPr>
                <w:rFonts w:ascii="Times New Roman" w:hAnsi="Times New Roman"/>
                <w:b/>
              </w:rPr>
              <w:t xml:space="preserve">Study Duration for individual </w:t>
            </w:r>
            <w:r w:rsidR="00032E80">
              <w:rPr>
                <w:rFonts w:ascii="Times New Roman" w:hAnsi="Times New Roman"/>
                <w:b/>
              </w:rPr>
              <w:t>subjects</w:t>
            </w:r>
          </w:p>
        </w:tc>
        <w:tc>
          <w:tcPr>
            <w:tcW w:w="6115" w:type="dxa"/>
          </w:tcPr>
          <w:p w14:paraId="0F49DC69" w14:textId="60C9A7EC" w:rsidR="00F6236C" w:rsidRDefault="00A23A39" w:rsidP="004A1A96">
            <w:r>
              <w:t>8</w:t>
            </w:r>
            <w:r w:rsidR="008E2408" w:rsidRPr="008E2408">
              <w:t xml:space="preserve"> visits, </w:t>
            </w:r>
            <w:r w:rsidR="00E45D46">
              <w:t>1</w:t>
            </w:r>
            <w:r w:rsidR="00E45D46" w:rsidRPr="008E2408">
              <w:t xml:space="preserve"> </w:t>
            </w:r>
            <w:r w:rsidR="008E2408" w:rsidRPr="008E2408">
              <w:t>follow-up call for a total of 5</w:t>
            </w:r>
            <w:r>
              <w:t>4</w:t>
            </w:r>
            <w:r w:rsidR="008E2408" w:rsidRPr="008E2408">
              <w:t xml:space="preserve">0 minutes over a </w:t>
            </w:r>
            <w:r w:rsidR="00406F8D" w:rsidRPr="00406F8D">
              <w:rPr>
                <w:rFonts w:ascii="Times New Roman" w:hAnsi="Times New Roman"/>
              </w:rPr>
              <w:t>40-day</w:t>
            </w:r>
            <w:r w:rsidR="008E2408" w:rsidRPr="008E2408">
              <w:t xml:space="preserve"> period</w:t>
            </w:r>
          </w:p>
        </w:tc>
      </w:tr>
      <w:tr w:rsidR="00F6236C" w14:paraId="46272D8F" w14:textId="77777777" w:rsidTr="00DF71A6">
        <w:tc>
          <w:tcPr>
            <w:tcW w:w="2515" w:type="dxa"/>
          </w:tcPr>
          <w:p w14:paraId="5C0315E9" w14:textId="77777777" w:rsidR="00F6236C" w:rsidRDefault="00F6236C" w:rsidP="004A1A96">
            <w:pPr>
              <w:rPr>
                <w:rFonts w:ascii="Times New Roman" w:hAnsi="Times New Roman"/>
                <w:b/>
              </w:rPr>
            </w:pPr>
            <w:r>
              <w:rPr>
                <w:rFonts w:ascii="Times New Roman" w:hAnsi="Times New Roman"/>
                <w:b/>
              </w:rPr>
              <w:t xml:space="preserve">Study Specific Abbreviations/ Definitions </w:t>
            </w:r>
          </w:p>
        </w:tc>
        <w:tc>
          <w:tcPr>
            <w:tcW w:w="6115" w:type="dxa"/>
          </w:tcPr>
          <w:p w14:paraId="7235DE1F" w14:textId="78DF8726" w:rsidR="00F6236C" w:rsidRDefault="00E45D46" w:rsidP="004A1A96">
            <w:r>
              <w:t>N/A</w:t>
            </w:r>
          </w:p>
          <w:p w14:paraId="7D6C7DE8" w14:textId="70AD72E4" w:rsidR="009D5FA8" w:rsidRPr="009D5FA8" w:rsidDel="008A5103" w:rsidRDefault="009D5FA8" w:rsidP="009D5FA8">
            <w:pPr>
              <w:pStyle w:val="Default"/>
            </w:pPr>
          </w:p>
        </w:tc>
      </w:tr>
    </w:tbl>
    <w:p w14:paraId="20FA4F3A" w14:textId="2B7970A5" w:rsidR="00393FAF" w:rsidRPr="00811473" w:rsidRDefault="001C7854" w:rsidP="004A1A96">
      <w:pPr>
        <w:pStyle w:val="Heading1"/>
        <w:ind w:left="0" w:firstLine="0"/>
      </w:pPr>
      <w:r>
        <w:br w:type="page"/>
      </w:r>
      <w:bookmarkStart w:id="2" w:name="_Toc18064199"/>
      <w:r w:rsidR="00393FAF" w:rsidRPr="00811473">
        <w:lastRenderedPageBreak/>
        <w:t>Objectives</w:t>
      </w:r>
      <w:bookmarkEnd w:id="2"/>
      <w:r w:rsidR="00C1279F">
        <w:t xml:space="preserve"> </w:t>
      </w:r>
    </w:p>
    <w:p w14:paraId="3DBE2C4D" w14:textId="59CDBF8F" w:rsidR="00AD03CE" w:rsidRDefault="00451052" w:rsidP="00877FD7">
      <w:pPr>
        <w:pStyle w:val="BlockText"/>
        <w:ind w:left="0" w:right="0"/>
      </w:pPr>
      <w:r>
        <w:rPr>
          <w:i w:val="0"/>
        </w:rPr>
        <w:t xml:space="preserve">2.1 </w:t>
      </w:r>
      <w:r w:rsidR="00151CBF" w:rsidRPr="00151CBF">
        <w:rPr>
          <w:i w:val="0"/>
        </w:rPr>
        <w:t>T</w:t>
      </w:r>
      <w:r w:rsidR="00151CBF">
        <w:rPr>
          <w:i w:val="0"/>
        </w:rPr>
        <w:t>he primary objective is t</w:t>
      </w:r>
      <w:r w:rsidR="00151CBF" w:rsidRPr="00151CBF">
        <w:rPr>
          <w:i w:val="0"/>
        </w:rPr>
        <w:t xml:space="preserve">o determine if colestipol </w:t>
      </w:r>
      <w:r w:rsidR="003144D1">
        <w:rPr>
          <w:i w:val="0"/>
        </w:rPr>
        <w:t>hydrochloride (</w:t>
      </w:r>
      <w:r w:rsidR="00151CBF">
        <w:rPr>
          <w:i w:val="0"/>
        </w:rPr>
        <w:t>HCL</w:t>
      </w:r>
      <w:r w:rsidR="003144D1">
        <w:rPr>
          <w:i w:val="0"/>
        </w:rPr>
        <w:t>)</w:t>
      </w:r>
      <w:r w:rsidR="00151CBF" w:rsidRPr="00151CBF">
        <w:rPr>
          <w:i w:val="0"/>
        </w:rPr>
        <w:t xml:space="preserve"> tablets can accelerate the elimination of teriflunomide.</w:t>
      </w:r>
      <w:r w:rsidR="00151CBF">
        <w:rPr>
          <w:i w:val="0"/>
        </w:rPr>
        <w:t xml:space="preserve"> The secondary objective is t</w:t>
      </w:r>
      <w:r w:rsidR="00151CBF" w:rsidRPr="00151CBF">
        <w:rPr>
          <w:i w:val="0"/>
        </w:rPr>
        <w:t xml:space="preserve">o collect information on the pattern of side effects with use of colestipol </w:t>
      </w:r>
      <w:r w:rsidR="00151CBF">
        <w:rPr>
          <w:i w:val="0"/>
        </w:rPr>
        <w:t>HCL</w:t>
      </w:r>
      <w:r w:rsidR="00151CBF" w:rsidRPr="00151CBF">
        <w:rPr>
          <w:i w:val="0"/>
        </w:rPr>
        <w:t xml:space="preserve"> after teriflunomide administration and to determine the best duration of therapy needed for adequate elimination</w:t>
      </w:r>
      <w:r w:rsidR="00151CBF">
        <w:rPr>
          <w:i w:val="0"/>
        </w:rPr>
        <w:t>.</w:t>
      </w:r>
    </w:p>
    <w:p w14:paraId="43B663B5" w14:textId="37E811B1" w:rsidR="00393FAF" w:rsidRPr="0053119C" w:rsidRDefault="00451052" w:rsidP="00877FD7">
      <w:pPr>
        <w:pStyle w:val="BlockText"/>
        <w:ind w:left="0" w:right="0"/>
        <w:rPr>
          <w:i w:val="0"/>
        </w:rPr>
      </w:pPr>
      <w:r>
        <w:rPr>
          <w:i w:val="0"/>
        </w:rPr>
        <w:t xml:space="preserve">2.2 </w:t>
      </w:r>
      <w:r w:rsidR="0053119C" w:rsidRPr="0053119C">
        <w:rPr>
          <w:i w:val="0"/>
        </w:rPr>
        <w:t xml:space="preserve">We hypothesize that colestipol </w:t>
      </w:r>
      <w:r w:rsidR="0053119C">
        <w:rPr>
          <w:i w:val="0"/>
        </w:rPr>
        <w:t>HCL</w:t>
      </w:r>
      <w:r w:rsidR="0053119C" w:rsidRPr="0053119C">
        <w:rPr>
          <w:i w:val="0"/>
        </w:rPr>
        <w:t xml:space="preserve"> will have the same elimination timing as cholestyramine (current approved elimination procedure).</w:t>
      </w:r>
    </w:p>
    <w:p w14:paraId="471BF982" w14:textId="1BAA5812" w:rsidR="00393FAF" w:rsidRDefault="00393FAF" w:rsidP="004A1A96">
      <w:pPr>
        <w:pStyle w:val="Heading1"/>
      </w:pPr>
      <w:bookmarkStart w:id="3" w:name="_Toc18064200"/>
      <w:r w:rsidRPr="00A01D71">
        <w:t>Background</w:t>
      </w:r>
      <w:bookmarkEnd w:id="3"/>
    </w:p>
    <w:p w14:paraId="710159D1" w14:textId="77777777" w:rsidR="00A158F8" w:rsidRPr="00A158F8" w:rsidRDefault="00A158F8" w:rsidP="00505D63"/>
    <w:p w14:paraId="49AAD4A2" w14:textId="77777777" w:rsidR="001C272C" w:rsidRPr="00F9272F" w:rsidRDefault="00451052" w:rsidP="001C272C">
      <w:r>
        <w:t xml:space="preserve">3.1 </w:t>
      </w:r>
      <w:r w:rsidR="001C272C" w:rsidRPr="00F9272F">
        <w:t>Teriflunomide is a novel, once-daily, oral disease-modifying therapy approved for the treatment of relapsing forms of multiple sclerosis. Teriflunomide exerts its effect by selectively and reversibly inhibiting dihydro-orotate dehydrogenase, a mitochondrial enzyme required for de novo pyrimidine synthesis [1]. This enzyme inhibition results in an impairment of the proliferation of stimulated T and B lymphocytes owing to their need of de novo pyrimidine synthesis to undergo expansion. The salvage pathway for pyrimidine synthesis are relatively unaffected by teriflunomide therefore slowly dividing or resting cells are able to proceed with pyrimidine synthesis. Teriflunomide has a rapid absorption and is extensively bound to plasma protein (&gt;99%). Teriflunomide is moderately metabolized and eliminated mainly through direct biliary excretion of unchanged drug via the feces. Given that it is highly protein bound and involved in enterohepatic recycling, teriflunomide has a long median terminal half-life of 19 days. This results in an extremely slow elimination from plas</w:t>
      </w:r>
      <w:r w:rsidR="001C272C">
        <w:t xml:space="preserve">ma, which on average </w:t>
      </w:r>
      <w:r w:rsidR="001C272C" w:rsidRPr="002117E7">
        <w:t>takes 6-8 months but can take up to 2 years for teriflunomide</w:t>
      </w:r>
      <w:r w:rsidR="001C272C" w:rsidRPr="00F9272F">
        <w:t xml:space="preserve"> plasma concentrations to reach a minimum level. If a </w:t>
      </w:r>
      <w:r w:rsidR="001C272C">
        <w:rPr>
          <w:color w:val="000000"/>
        </w:rPr>
        <w:t>participant</w:t>
      </w:r>
      <w:r w:rsidR="001C272C" w:rsidRPr="00F9272F">
        <w:t xml:space="preserve"> needs an accelerated elimination of teriflunomide, the oral administration of cholestyramine, an anion-exchange resin, or activated charcoal can be administered [2]. This has been shown to be effective because cholestyramine and activated charcoal can bind to unbound teriflunomide forming insoluble complexes leading to these becoming sequestered in the small intestine and eventually excreted in feces. By preventing their reabsorption, this process results in the partial removal of unbound teriflunomide and bile acids from the enterohepatic circulation. </w:t>
      </w:r>
    </w:p>
    <w:p w14:paraId="41DD2800" w14:textId="17C5451D" w:rsidR="0055756D" w:rsidRDefault="001C272C" w:rsidP="00877FD7">
      <w:pPr>
        <w:pStyle w:val="BlockText"/>
        <w:ind w:left="0" w:right="0"/>
        <w:rPr>
          <w:i w:val="0"/>
        </w:rPr>
      </w:pPr>
      <w:r w:rsidRPr="001C272C">
        <w:rPr>
          <w:i w:val="0"/>
        </w:rPr>
        <w:t>Colestipol hydrochloride is bile acid sequestrant, similar to cholestyramine [3]. Colestipol hydrochloride has the potential to exert a similar effect on unbound teriflunomide given its similarity to cholestyramine. Colestipol hydrochloride has the potential advantage over cholestyramine in its ease of administration given that it can be dosed as a daily or twice daily regimen where as cholestyramine is typically dosed as three times a day. Another potential advantage is that colestipol is available in an oral tablet formulation where as cholestyramine is supplied as a</w:t>
      </w:r>
      <w:r w:rsidR="008D5A46">
        <w:rPr>
          <w:i w:val="0"/>
        </w:rPr>
        <w:t>n</w:t>
      </w:r>
      <w:r w:rsidRPr="001C272C">
        <w:rPr>
          <w:i w:val="0"/>
        </w:rPr>
        <w:t xml:space="preserve"> oral powder for suspension [3].</w:t>
      </w:r>
    </w:p>
    <w:p w14:paraId="2CEC965F" w14:textId="7370DBE3" w:rsidR="001C272C" w:rsidRDefault="001C272C" w:rsidP="00877FD7">
      <w:pPr>
        <w:pStyle w:val="BlockText"/>
        <w:ind w:left="0" w:right="0"/>
        <w:rPr>
          <w:i w:val="0"/>
        </w:rPr>
      </w:pPr>
    </w:p>
    <w:p w14:paraId="58052DDA" w14:textId="730D7B87" w:rsidR="001C272C" w:rsidRPr="001C272C" w:rsidRDefault="001C272C" w:rsidP="001C272C">
      <w:pPr>
        <w:pStyle w:val="BlockText"/>
        <w:ind w:left="0" w:right="0"/>
        <w:rPr>
          <w:i w:val="0"/>
        </w:rPr>
      </w:pPr>
      <w:r>
        <w:rPr>
          <w:i w:val="0"/>
        </w:rPr>
        <w:t xml:space="preserve">1. </w:t>
      </w:r>
      <w:r w:rsidRPr="001C272C">
        <w:rPr>
          <w:i w:val="0"/>
        </w:rPr>
        <w:t xml:space="preserve">O’Connor PW </w:t>
      </w:r>
      <w:r w:rsidRPr="001C272C">
        <w:rPr>
          <w:i w:val="0"/>
          <w:iCs/>
        </w:rPr>
        <w:t xml:space="preserve">et al. Randomized trial of oral teriflunomide for relapsing multiple sclerosis. </w:t>
      </w:r>
      <w:r w:rsidRPr="001C272C">
        <w:rPr>
          <w:i w:val="0"/>
        </w:rPr>
        <w:t>N Engl J Med. 2011 Oct 6;365(14):1293-303.</w:t>
      </w:r>
    </w:p>
    <w:p w14:paraId="3E372A16" w14:textId="22E0A2F3" w:rsidR="001C272C" w:rsidRPr="001C272C" w:rsidRDefault="001C272C" w:rsidP="00A01F59">
      <w:pPr>
        <w:pStyle w:val="BlockText"/>
        <w:ind w:left="0" w:right="0"/>
        <w:rPr>
          <w:i w:val="0"/>
        </w:rPr>
      </w:pPr>
      <w:r w:rsidRPr="001C272C">
        <w:rPr>
          <w:i w:val="0"/>
        </w:rPr>
        <w:t>2.</w:t>
      </w:r>
      <w:r>
        <w:rPr>
          <w:i w:val="0"/>
        </w:rPr>
        <w:t xml:space="preserve"> </w:t>
      </w:r>
      <w:r w:rsidRPr="001C272C">
        <w:rPr>
          <w:i w:val="0"/>
        </w:rPr>
        <w:t xml:space="preserve">Miller A, Turpault S, Manguy-Vacheron Francoise. Rapid Elimination procedure of teriflunomide with cholestyramine or activated charcoal. Poster session presented as </w:t>
      </w:r>
      <w:r w:rsidRPr="001C272C">
        <w:rPr>
          <w:i w:val="0"/>
        </w:rPr>
        <w:lastRenderedPageBreak/>
        <w:t>works in progress. The Fourth Cooperative Meeting of the Consortium of Multiple Sclerosis Centers and Americas Committee for Treatment and Research in Multiple Sclerosis; 2012 May 30-Jun 2; San Diego, CA.</w:t>
      </w:r>
    </w:p>
    <w:p w14:paraId="4BB07FA9" w14:textId="152F1C3C" w:rsidR="001C272C" w:rsidRDefault="001C272C" w:rsidP="00CC232E">
      <w:pPr>
        <w:pStyle w:val="BlockText"/>
        <w:ind w:left="0"/>
        <w:rPr>
          <w:i w:val="0"/>
        </w:rPr>
      </w:pPr>
      <w:r w:rsidRPr="001C272C">
        <w:rPr>
          <w:i w:val="0"/>
        </w:rPr>
        <w:t>3.</w:t>
      </w:r>
      <w:r>
        <w:rPr>
          <w:i w:val="0"/>
        </w:rPr>
        <w:t xml:space="preserve"> </w:t>
      </w:r>
      <w:r w:rsidRPr="001C272C">
        <w:rPr>
          <w:i w:val="0"/>
        </w:rPr>
        <w:t>Insull W Jr, et al. The effects of colestipol tablets compared with colestipol granules on plasma cholesterol and other lipids in moderately hypercholesterolemic patients. Atherosclerosis 1995 Jan 20; 112 (2): 223-35.</w:t>
      </w:r>
    </w:p>
    <w:p w14:paraId="4B5AD5EE" w14:textId="77777777" w:rsidR="00CC232E" w:rsidRPr="001C272C" w:rsidRDefault="00CC232E" w:rsidP="00CC232E">
      <w:pPr>
        <w:pStyle w:val="BlockText"/>
        <w:ind w:left="0"/>
        <w:rPr>
          <w:i w:val="0"/>
        </w:rPr>
      </w:pPr>
    </w:p>
    <w:p w14:paraId="0787E536" w14:textId="07A77D5F" w:rsidR="00AD03CE" w:rsidRDefault="00451052" w:rsidP="00877FD7">
      <w:pPr>
        <w:pStyle w:val="BlockText"/>
        <w:ind w:left="0" w:right="0"/>
      </w:pPr>
      <w:r>
        <w:rPr>
          <w:i w:val="0"/>
        </w:rPr>
        <w:t xml:space="preserve">3.2 </w:t>
      </w:r>
      <w:r w:rsidR="00E24516">
        <w:rPr>
          <w:i w:val="0"/>
        </w:rPr>
        <w:t>N/A</w:t>
      </w:r>
    </w:p>
    <w:p w14:paraId="1FB4FFB4" w14:textId="2FE1F25B" w:rsidR="00297491" w:rsidRPr="00CA0CB1" w:rsidRDefault="00C707B0" w:rsidP="004A1A96">
      <w:pPr>
        <w:pStyle w:val="Heading1"/>
      </w:pPr>
      <w:bookmarkStart w:id="4" w:name="_Toc18064201"/>
      <w:r>
        <w:t>Safety</w:t>
      </w:r>
      <w:r w:rsidRPr="00CA0CB1">
        <w:t xml:space="preserve"> </w:t>
      </w:r>
      <w:r w:rsidR="00297491" w:rsidRPr="00A01D71">
        <w:t>Endpoints</w:t>
      </w:r>
      <w:bookmarkEnd w:id="4"/>
      <w:r w:rsidR="00C1279F">
        <w:t xml:space="preserve"> </w:t>
      </w:r>
    </w:p>
    <w:p w14:paraId="26A65979" w14:textId="71B2B55A" w:rsidR="00297491" w:rsidRPr="00CA0CB1" w:rsidRDefault="00C707B0" w:rsidP="00877FD7">
      <w:pPr>
        <w:pStyle w:val="BlockText"/>
        <w:ind w:left="0" w:right="0"/>
      </w:pPr>
      <w:r>
        <w:rPr>
          <w:i w:val="0"/>
        </w:rPr>
        <w:t>4.1</w:t>
      </w:r>
      <w:r w:rsidR="00451052">
        <w:rPr>
          <w:i w:val="0"/>
        </w:rPr>
        <w:t xml:space="preserve"> </w:t>
      </w:r>
      <w:r w:rsidR="00A01F59">
        <w:rPr>
          <w:i w:val="0"/>
        </w:rPr>
        <w:t>If any of the laboratory values (CBC/CMP safety labs) are greater than two times outside of the normal limits, the subject w</w:t>
      </w:r>
      <w:r w:rsidR="00A158F8">
        <w:rPr>
          <w:i w:val="0"/>
        </w:rPr>
        <w:t>ill</w:t>
      </w:r>
      <w:r w:rsidR="00A01F59">
        <w:rPr>
          <w:i w:val="0"/>
        </w:rPr>
        <w:t xml:space="preserve"> be withdrawn. If three people are withdrawn for that rea</w:t>
      </w:r>
      <w:r w:rsidR="00804D67">
        <w:rPr>
          <w:i w:val="0"/>
        </w:rPr>
        <w:t>son, the study will be stopped.</w:t>
      </w:r>
    </w:p>
    <w:p w14:paraId="56C333B9" w14:textId="508D9E53" w:rsidR="00297491" w:rsidRPr="00CA0CB1" w:rsidRDefault="00297491" w:rsidP="004A1A96">
      <w:pPr>
        <w:pStyle w:val="Heading1"/>
      </w:pPr>
      <w:bookmarkStart w:id="5" w:name="_Toc18064202"/>
      <w:r>
        <w:t>Study Intervention</w:t>
      </w:r>
      <w:r w:rsidR="002A70CA">
        <w:t xml:space="preserve">s, </w:t>
      </w:r>
      <w:r>
        <w:t>Investigational Agent</w:t>
      </w:r>
      <w:r w:rsidR="002A70CA">
        <w:t>s, and FDA-Regulated Products</w:t>
      </w:r>
      <w:r w:rsidR="00A4042F">
        <w:t xml:space="preserve"> </w:t>
      </w:r>
      <w:bookmarkEnd w:id="5"/>
    </w:p>
    <w:p w14:paraId="5514703D" w14:textId="41DD1EA7" w:rsidR="00297491" w:rsidRPr="004260DD" w:rsidRDefault="00451052" w:rsidP="00877FD7">
      <w:pPr>
        <w:autoSpaceDE/>
        <w:autoSpaceDN/>
        <w:adjustRightInd/>
        <w:spacing w:before="120" w:after="120"/>
        <w:rPr>
          <w:i/>
        </w:rPr>
      </w:pPr>
      <w:r>
        <w:rPr>
          <w:rFonts w:ascii="Times New Roman" w:hAnsi="Times New Roman"/>
        </w:rPr>
        <w:t xml:space="preserve">5.1 </w:t>
      </w:r>
      <w:r w:rsidR="003144D1">
        <w:rPr>
          <w:rFonts w:ascii="Times New Roman" w:hAnsi="Times New Roman"/>
        </w:rPr>
        <w:t xml:space="preserve">The intervention under study is </w:t>
      </w:r>
      <w:r w:rsidR="003144D1">
        <w:t>te</w:t>
      </w:r>
      <w:r w:rsidR="003144D1" w:rsidRPr="00EC0A22">
        <w:t xml:space="preserve">riflunomide </w:t>
      </w:r>
      <w:r w:rsidR="003144D1">
        <w:t>rapid elimination using colestipol h</w:t>
      </w:r>
      <w:r w:rsidR="003144D1" w:rsidRPr="00EC0A22">
        <w:t>ydrochloride</w:t>
      </w:r>
      <w:r w:rsidR="003144D1">
        <w:t>.</w:t>
      </w:r>
    </w:p>
    <w:p w14:paraId="292C6B2A" w14:textId="08977991" w:rsidR="00297491" w:rsidRDefault="00451052" w:rsidP="00877FD7">
      <w:pPr>
        <w:pStyle w:val="BlockText"/>
        <w:ind w:left="0" w:right="0"/>
      </w:pPr>
      <w:r>
        <w:rPr>
          <w:i w:val="0"/>
        </w:rPr>
        <w:t xml:space="preserve">5.2 </w:t>
      </w:r>
    </w:p>
    <w:tbl>
      <w:tblPr>
        <w:tblpPr w:leftFromText="180" w:rightFromText="180" w:vertAnchor="text" w:horzAnchor="page" w:tblpX="1791" w:tblpY="213"/>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4685"/>
      </w:tblGrid>
      <w:tr w:rsidR="005C3A8C" w14:paraId="3AA78755" w14:textId="77777777" w:rsidTr="005D04DB">
        <w:tc>
          <w:tcPr>
            <w:tcW w:w="4585" w:type="dxa"/>
            <w:shd w:val="clear" w:color="auto" w:fill="BFBFBF" w:themeFill="background1" w:themeFillShade="BF"/>
          </w:tcPr>
          <w:p w14:paraId="7D61C3EA" w14:textId="77777777" w:rsidR="005C3A8C" w:rsidRPr="00A50E62" w:rsidRDefault="005C3A8C" w:rsidP="004A1A96">
            <w:pPr>
              <w:rPr>
                <w:b/>
              </w:rPr>
            </w:pPr>
            <w:r w:rsidRPr="00A50E62">
              <w:rPr>
                <w:b/>
              </w:rPr>
              <w:t>Devices</w:t>
            </w:r>
          </w:p>
        </w:tc>
        <w:tc>
          <w:tcPr>
            <w:tcW w:w="4685" w:type="dxa"/>
            <w:shd w:val="clear" w:color="auto" w:fill="BFBFBF" w:themeFill="background1" w:themeFillShade="BF"/>
          </w:tcPr>
          <w:p w14:paraId="2AA5EDFB" w14:textId="77777777" w:rsidR="005C3A8C" w:rsidRPr="00D25C6F" w:rsidRDefault="005C3A8C" w:rsidP="004A1A96">
            <w:pPr>
              <w:rPr>
                <w:b/>
              </w:rPr>
            </w:pPr>
            <w:r>
              <w:rPr>
                <w:b/>
              </w:rPr>
              <w:t>Drugs/Biologics</w:t>
            </w:r>
          </w:p>
        </w:tc>
      </w:tr>
      <w:tr w:rsidR="005C3A8C" w14:paraId="62556432" w14:textId="77777777" w:rsidTr="005D04DB">
        <w:tc>
          <w:tcPr>
            <w:tcW w:w="4585" w:type="dxa"/>
            <w:vAlign w:val="center"/>
          </w:tcPr>
          <w:p w14:paraId="47FF96DA" w14:textId="1E19E97A" w:rsidR="005C3A8C" w:rsidRPr="005C3A8C" w:rsidRDefault="004E335B" w:rsidP="004A1A96">
            <w:pPr>
              <w:rPr>
                <w:rFonts w:ascii="Times New Roman" w:hAnsi="Times New Roman"/>
              </w:rPr>
            </w:pPr>
            <w:sdt>
              <w:sdtPr>
                <w:rPr>
                  <w:rFonts w:ascii="Times New Roman" w:hAnsi="Times New Roman"/>
                </w:rPr>
                <w:id w:val="22301871"/>
                <w14:checkbox>
                  <w14:checked w14:val="0"/>
                  <w14:checkedState w14:val="2612" w14:font="MS Gothic"/>
                  <w14:uncheckedState w14:val="2610" w14:font="MS Gothic"/>
                </w14:checkbox>
              </w:sdtPr>
              <w:sdtEndPr/>
              <w:sdtContent>
                <w:r w:rsidR="006D38C0">
                  <w:rPr>
                    <w:rFonts w:ascii="MS Gothic" w:eastAsia="MS Gothic" w:hAnsi="MS Gothic" w:hint="eastAsia"/>
                  </w:rPr>
                  <w:t>☐</w:t>
                </w:r>
              </w:sdtContent>
            </w:sdt>
            <w:r w:rsidR="005D04DB">
              <w:rPr>
                <w:rFonts w:ascii="Times New Roman" w:hAnsi="Times New Roman"/>
                <w:b/>
              </w:rPr>
              <w:t xml:space="preserve"> </w:t>
            </w:r>
            <w:r w:rsidR="005C3A8C" w:rsidRPr="005C3A8C">
              <w:rPr>
                <w:rFonts w:ascii="Times New Roman" w:hAnsi="Times New Roman"/>
              </w:rPr>
              <w:t>FDA Approved Device – Approved Use</w:t>
            </w:r>
          </w:p>
        </w:tc>
        <w:tc>
          <w:tcPr>
            <w:tcW w:w="4685" w:type="dxa"/>
            <w:vAlign w:val="center"/>
          </w:tcPr>
          <w:p w14:paraId="334B1445" w14:textId="1CB59CC0" w:rsidR="005C3A8C" w:rsidRPr="00CD4011" w:rsidRDefault="004E335B" w:rsidP="004A1A96">
            <w:pPr>
              <w:ind w:left="346" w:hanging="346"/>
              <w:rPr>
                <w:rFonts w:asciiTheme="minorHAnsi" w:hAnsiTheme="minorHAnsi" w:cstheme="minorHAnsi"/>
              </w:rPr>
            </w:pPr>
            <w:sdt>
              <w:sdtPr>
                <w:id w:val="1668134376"/>
                <w14:checkbox>
                  <w14:checked w14:val="0"/>
                  <w14:checkedState w14:val="2612" w14:font="MS Gothic"/>
                  <w14:uncheckedState w14:val="2610" w14:font="MS Gothic"/>
                </w14:checkbox>
              </w:sdtPr>
              <w:sdtEndPr/>
              <w:sdtContent>
                <w:r w:rsidR="00B27006">
                  <w:rPr>
                    <w:rFonts w:ascii="MS Gothic" w:eastAsia="MS Gothic" w:hAnsi="MS Gothic" w:hint="eastAsia"/>
                  </w:rPr>
                  <w:t>☐</w:t>
                </w:r>
              </w:sdtContent>
            </w:sdt>
            <w:r w:rsidR="005C3A8C" w:rsidRPr="00E66D54">
              <w:rPr>
                <w:b/>
              </w:rPr>
              <w:t xml:space="preserve"> </w:t>
            </w:r>
            <w:r w:rsidR="005C3A8C">
              <w:t>FDA Approved Drug/Biologic – Approved Use</w:t>
            </w:r>
          </w:p>
        </w:tc>
      </w:tr>
      <w:tr w:rsidR="005C3A8C" w14:paraId="60EBE6EA" w14:textId="77777777" w:rsidTr="005D04DB">
        <w:tc>
          <w:tcPr>
            <w:tcW w:w="4585" w:type="dxa"/>
            <w:vAlign w:val="center"/>
          </w:tcPr>
          <w:p w14:paraId="00F1B6CC" w14:textId="77777777" w:rsidR="005C3A8C" w:rsidRPr="005C3A8C" w:rsidRDefault="004E335B" w:rsidP="004A1A96">
            <w:pPr>
              <w:rPr>
                <w:rFonts w:ascii="Times New Roman" w:hAnsi="Times New Roman"/>
              </w:rPr>
            </w:pPr>
            <w:sdt>
              <w:sdtPr>
                <w:rPr>
                  <w:rFonts w:ascii="Times New Roman" w:hAnsi="Times New Roman"/>
                </w:rPr>
                <w:id w:val="-1647967113"/>
                <w14:checkbox>
                  <w14:checked w14:val="0"/>
                  <w14:checkedState w14:val="2612" w14:font="MS Gothic"/>
                  <w14:uncheckedState w14:val="2610" w14:font="MS Gothic"/>
                </w14:checkbox>
              </w:sdtPr>
              <w:sdtEndPr/>
              <w:sdtContent>
                <w:r w:rsidR="005C3A8C" w:rsidRPr="005C3A8C">
                  <w:rPr>
                    <w:rFonts w:ascii="Segoe UI Symbol" w:eastAsia="MS Gothic" w:hAnsi="Segoe UI Symbol" w:cs="Segoe UI Symbol"/>
                  </w:rPr>
                  <w:t>☐</w:t>
                </w:r>
              </w:sdtContent>
            </w:sdt>
            <w:r w:rsidR="005C3A8C" w:rsidRPr="005C3A8C">
              <w:rPr>
                <w:rFonts w:ascii="Times New Roman" w:hAnsi="Times New Roman"/>
                <w:b/>
              </w:rPr>
              <w:t xml:space="preserve"> </w:t>
            </w:r>
            <w:r w:rsidR="005C3A8C" w:rsidRPr="005C3A8C">
              <w:rPr>
                <w:rFonts w:ascii="Times New Roman" w:hAnsi="Times New Roman"/>
              </w:rPr>
              <w:t>FDA Approved Device – Unapproved Use</w:t>
            </w:r>
          </w:p>
        </w:tc>
        <w:tc>
          <w:tcPr>
            <w:tcW w:w="4685" w:type="dxa"/>
            <w:vAlign w:val="center"/>
          </w:tcPr>
          <w:p w14:paraId="53FE6169" w14:textId="0A2544BE" w:rsidR="005C3A8C" w:rsidRDefault="004E335B" w:rsidP="004A1A96">
            <w:pPr>
              <w:ind w:left="256" w:hanging="256"/>
            </w:pPr>
            <w:sdt>
              <w:sdtPr>
                <w:id w:val="-1709558563"/>
                <w14:checkbox>
                  <w14:checked w14:val="1"/>
                  <w14:checkedState w14:val="2612" w14:font="MS Gothic"/>
                  <w14:uncheckedState w14:val="2610" w14:font="MS Gothic"/>
                </w14:checkbox>
              </w:sdtPr>
              <w:sdtEndPr/>
              <w:sdtContent>
                <w:r w:rsidR="00C8412B">
                  <w:rPr>
                    <w:rFonts w:ascii="MS Gothic" w:eastAsia="MS Gothic" w:hAnsi="MS Gothic" w:hint="eastAsia"/>
                  </w:rPr>
                  <w:t>☒</w:t>
                </w:r>
              </w:sdtContent>
            </w:sdt>
            <w:r w:rsidR="005C3A8C" w:rsidRPr="00E66D54">
              <w:rPr>
                <w:b/>
              </w:rPr>
              <w:t xml:space="preserve"> </w:t>
            </w:r>
            <w:r w:rsidR="005D04DB">
              <w:t xml:space="preserve">FDA Approved Drug/Biologic – </w:t>
            </w:r>
            <w:r w:rsidR="005C3A8C">
              <w:t>Unapproved Use</w:t>
            </w:r>
          </w:p>
        </w:tc>
      </w:tr>
      <w:tr w:rsidR="005C3A8C" w14:paraId="02B1D9BC" w14:textId="77777777" w:rsidTr="005D04DB">
        <w:tc>
          <w:tcPr>
            <w:tcW w:w="4585" w:type="dxa"/>
            <w:vAlign w:val="center"/>
          </w:tcPr>
          <w:p w14:paraId="55068848" w14:textId="6148D3D6" w:rsidR="005C3A8C" w:rsidRPr="005C3A8C" w:rsidRDefault="004E335B" w:rsidP="004A1A96">
            <w:pPr>
              <w:ind w:left="330" w:hanging="330"/>
              <w:rPr>
                <w:rFonts w:ascii="Times New Roman" w:hAnsi="Times New Roman"/>
              </w:rPr>
            </w:pPr>
            <w:sdt>
              <w:sdtPr>
                <w:rPr>
                  <w:rFonts w:ascii="Times New Roman" w:hAnsi="Times New Roman"/>
                </w:rPr>
                <w:id w:val="-1037039557"/>
                <w14:checkbox>
                  <w14:checked w14:val="0"/>
                  <w14:checkedState w14:val="2612" w14:font="MS Gothic"/>
                  <w14:uncheckedState w14:val="2610" w14:font="MS Gothic"/>
                </w14:checkbox>
              </w:sdtPr>
              <w:sdtEndPr/>
              <w:sdtContent>
                <w:r w:rsidR="005C3A8C" w:rsidRPr="005C3A8C">
                  <w:rPr>
                    <w:rFonts w:ascii="Segoe UI Symbol" w:eastAsia="MS Gothic" w:hAnsi="Segoe UI Symbol" w:cs="Segoe UI Symbol"/>
                  </w:rPr>
                  <w:t>☐</w:t>
                </w:r>
              </w:sdtContent>
            </w:sdt>
            <w:r w:rsidR="005C3A8C" w:rsidRPr="005C3A8C">
              <w:rPr>
                <w:rFonts w:ascii="Times New Roman" w:hAnsi="Times New Roman"/>
                <w:b/>
              </w:rPr>
              <w:t xml:space="preserve"> </w:t>
            </w:r>
            <w:r w:rsidR="005C3A8C" w:rsidRPr="005C3A8C">
              <w:rPr>
                <w:rFonts w:ascii="Times New Roman" w:hAnsi="Times New Roman"/>
              </w:rPr>
              <w:t>Investigational Device – Non-Significant Risk</w:t>
            </w:r>
          </w:p>
        </w:tc>
        <w:tc>
          <w:tcPr>
            <w:tcW w:w="4685" w:type="dxa"/>
            <w:vAlign w:val="center"/>
          </w:tcPr>
          <w:p w14:paraId="76A713DC" w14:textId="77777777" w:rsidR="005C3A8C" w:rsidRDefault="004E335B" w:rsidP="004A1A96">
            <w:sdt>
              <w:sdtPr>
                <w:id w:val="-1724898535"/>
                <w14:checkbox>
                  <w14:checked w14:val="0"/>
                  <w14:checkedState w14:val="2612" w14:font="MS Gothic"/>
                  <w14:uncheckedState w14:val="2610" w14:font="MS Gothic"/>
                </w14:checkbox>
              </w:sdtPr>
              <w:sdtEndPr/>
              <w:sdtContent>
                <w:r w:rsidR="005C3A8C">
                  <w:rPr>
                    <w:rFonts w:ascii="MS Gothic" w:eastAsia="MS Gothic" w:hAnsi="MS Gothic" w:hint="eastAsia"/>
                  </w:rPr>
                  <w:t>☐</w:t>
                </w:r>
              </w:sdtContent>
            </w:sdt>
            <w:r w:rsidR="005C3A8C" w:rsidRPr="00E66D54">
              <w:rPr>
                <w:b/>
              </w:rPr>
              <w:t xml:space="preserve"> </w:t>
            </w:r>
            <w:r w:rsidR="005C3A8C">
              <w:t>Investigational Drug/Biologics</w:t>
            </w:r>
          </w:p>
        </w:tc>
      </w:tr>
      <w:tr w:rsidR="005C3A8C" w14:paraId="42278998" w14:textId="77777777" w:rsidTr="005D04DB">
        <w:tc>
          <w:tcPr>
            <w:tcW w:w="4585" w:type="dxa"/>
            <w:vAlign w:val="center"/>
          </w:tcPr>
          <w:p w14:paraId="7BFAA9AE" w14:textId="5205E826" w:rsidR="005C3A8C" w:rsidRPr="005C3A8C" w:rsidRDefault="004E335B" w:rsidP="004A1A96">
            <w:pPr>
              <w:rPr>
                <w:rFonts w:ascii="Times New Roman" w:hAnsi="Times New Roman"/>
              </w:rPr>
            </w:pPr>
            <w:sdt>
              <w:sdtPr>
                <w:rPr>
                  <w:rFonts w:ascii="Times New Roman" w:hAnsi="Times New Roman"/>
                </w:rPr>
                <w:id w:val="322636331"/>
                <w14:checkbox>
                  <w14:checked w14:val="0"/>
                  <w14:checkedState w14:val="2612" w14:font="MS Gothic"/>
                  <w14:uncheckedState w14:val="2610" w14:font="MS Gothic"/>
                </w14:checkbox>
              </w:sdtPr>
              <w:sdtEndPr/>
              <w:sdtContent>
                <w:r w:rsidR="005C3A8C" w:rsidRPr="005C3A8C">
                  <w:rPr>
                    <w:rFonts w:ascii="Segoe UI Symbol" w:eastAsia="MS Gothic" w:hAnsi="Segoe UI Symbol" w:cs="Segoe UI Symbol"/>
                  </w:rPr>
                  <w:t>☐</w:t>
                </w:r>
              </w:sdtContent>
            </w:sdt>
            <w:r w:rsidR="005C3A8C" w:rsidRPr="005C3A8C" w:rsidDel="007208BD">
              <w:rPr>
                <w:rFonts w:ascii="Times New Roman" w:hAnsi="Times New Roman"/>
                <w:b/>
              </w:rPr>
              <w:t xml:space="preserve"> </w:t>
            </w:r>
            <w:r w:rsidR="005C3A8C" w:rsidRPr="005C3A8C">
              <w:rPr>
                <w:rFonts w:ascii="Times New Roman" w:hAnsi="Times New Roman"/>
              </w:rPr>
              <w:t>Investigational Device – Significant Risk</w:t>
            </w:r>
          </w:p>
        </w:tc>
        <w:tc>
          <w:tcPr>
            <w:tcW w:w="4685" w:type="dxa"/>
            <w:vAlign w:val="center"/>
          </w:tcPr>
          <w:p w14:paraId="5A4C74BE" w14:textId="77777777" w:rsidR="005C3A8C" w:rsidRDefault="004E335B" w:rsidP="004A1A96">
            <w:sdt>
              <w:sdtPr>
                <w:id w:val="-488639186"/>
                <w14:checkbox>
                  <w14:checked w14:val="0"/>
                  <w14:checkedState w14:val="2612" w14:font="MS Gothic"/>
                  <w14:uncheckedState w14:val="2610" w14:font="MS Gothic"/>
                </w14:checkbox>
              </w:sdtPr>
              <w:sdtEndPr/>
              <w:sdtContent>
                <w:r w:rsidR="005C3A8C">
                  <w:rPr>
                    <w:rFonts w:ascii="MS Gothic" w:eastAsia="MS Gothic" w:hAnsi="MS Gothic" w:hint="eastAsia"/>
                  </w:rPr>
                  <w:t>☐</w:t>
                </w:r>
              </w:sdtContent>
            </w:sdt>
            <w:r w:rsidR="005C3A8C" w:rsidRPr="00E66D54" w:rsidDel="007208BD">
              <w:rPr>
                <w:b/>
              </w:rPr>
              <w:t xml:space="preserve"> </w:t>
            </w:r>
            <w:r w:rsidR="005C3A8C">
              <w:t>Placebo</w:t>
            </w:r>
          </w:p>
        </w:tc>
      </w:tr>
      <w:tr w:rsidR="005C3A8C" w14:paraId="027C889D" w14:textId="77777777" w:rsidTr="005D04DB">
        <w:tc>
          <w:tcPr>
            <w:tcW w:w="4585" w:type="dxa"/>
            <w:vAlign w:val="center"/>
          </w:tcPr>
          <w:p w14:paraId="01D66DA1" w14:textId="77777777" w:rsidR="005C3A8C" w:rsidRPr="005C3A8C" w:rsidRDefault="004E335B" w:rsidP="004A1A96">
            <w:pPr>
              <w:rPr>
                <w:rFonts w:ascii="Times New Roman" w:hAnsi="Times New Roman"/>
              </w:rPr>
            </w:pPr>
            <w:sdt>
              <w:sdtPr>
                <w:rPr>
                  <w:rFonts w:ascii="Times New Roman" w:hAnsi="Times New Roman"/>
                </w:rPr>
                <w:id w:val="-1136407698"/>
                <w14:checkbox>
                  <w14:checked w14:val="0"/>
                  <w14:checkedState w14:val="2612" w14:font="MS Gothic"/>
                  <w14:uncheckedState w14:val="2610" w14:font="MS Gothic"/>
                </w14:checkbox>
              </w:sdtPr>
              <w:sdtEndPr/>
              <w:sdtContent>
                <w:r w:rsidR="005C3A8C" w:rsidRPr="005C3A8C">
                  <w:rPr>
                    <w:rFonts w:ascii="Segoe UI Symbol" w:eastAsia="MS Gothic" w:hAnsi="Segoe UI Symbol" w:cs="Segoe UI Symbol"/>
                  </w:rPr>
                  <w:t>☐</w:t>
                </w:r>
              </w:sdtContent>
            </w:sdt>
            <w:r w:rsidR="005C3A8C" w:rsidRPr="005C3A8C" w:rsidDel="007208BD">
              <w:rPr>
                <w:rFonts w:ascii="Times New Roman" w:hAnsi="Times New Roman"/>
                <w:b/>
              </w:rPr>
              <w:t xml:space="preserve"> </w:t>
            </w:r>
            <w:r w:rsidR="005C3A8C" w:rsidRPr="005C3A8C">
              <w:rPr>
                <w:rFonts w:ascii="Times New Roman" w:hAnsi="Times New Roman"/>
              </w:rPr>
              <w:t>Humanitarian Use Device Exemption</w:t>
            </w:r>
          </w:p>
        </w:tc>
        <w:tc>
          <w:tcPr>
            <w:tcW w:w="4685" w:type="dxa"/>
            <w:vAlign w:val="center"/>
          </w:tcPr>
          <w:p w14:paraId="1A387210" w14:textId="77777777" w:rsidR="005C3A8C" w:rsidRDefault="004E335B" w:rsidP="004A1A96">
            <w:sdt>
              <w:sdtPr>
                <w:id w:val="-192775516"/>
                <w14:checkbox>
                  <w14:checked w14:val="0"/>
                  <w14:checkedState w14:val="2612" w14:font="MS Gothic"/>
                  <w14:uncheckedState w14:val="2610" w14:font="MS Gothic"/>
                </w14:checkbox>
              </w:sdtPr>
              <w:sdtEndPr/>
              <w:sdtContent>
                <w:r w:rsidR="005C3A8C">
                  <w:rPr>
                    <w:rFonts w:ascii="MS Gothic" w:eastAsia="MS Gothic" w:hAnsi="MS Gothic" w:hint="eastAsia"/>
                  </w:rPr>
                  <w:t>☐</w:t>
                </w:r>
              </w:sdtContent>
            </w:sdt>
            <w:r w:rsidR="005C3A8C" w:rsidRPr="00E66D54" w:rsidDel="007208BD">
              <w:rPr>
                <w:b/>
              </w:rPr>
              <w:t xml:space="preserve"> </w:t>
            </w:r>
            <w:r w:rsidR="005C3A8C">
              <w:t>Other Drugs/Biologics</w:t>
            </w:r>
          </w:p>
        </w:tc>
      </w:tr>
      <w:tr w:rsidR="005C3A8C" w14:paraId="7FC6EDE0" w14:textId="77777777" w:rsidTr="005D04DB">
        <w:tc>
          <w:tcPr>
            <w:tcW w:w="4585" w:type="dxa"/>
            <w:vAlign w:val="center"/>
          </w:tcPr>
          <w:p w14:paraId="7E91AD5F" w14:textId="77777777" w:rsidR="005C3A8C" w:rsidRPr="005C3A8C" w:rsidRDefault="004E335B" w:rsidP="004A1A96">
            <w:pPr>
              <w:rPr>
                <w:rFonts w:ascii="Times New Roman" w:hAnsi="Times New Roman"/>
              </w:rPr>
            </w:pPr>
            <w:sdt>
              <w:sdtPr>
                <w:rPr>
                  <w:rFonts w:ascii="Times New Roman" w:hAnsi="Times New Roman"/>
                </w:rPr>
                <w:id w:val="-1638100300"/>
                <w14:checkbox>
                  <w14:checked w14:val="0"/>
                  <w14:checkedState w14:val="2612" w14:font="MS Gothic"/>
                  <w14:uncheckedState w14:val="2610" w14:font="MS Gothic"/>
                </w14:checkbox>
              </w:sdtPr>
              <w:sdtEndPr/>
              <w:sdtContent>
                <w:r w:rsidR="005C3A8C" w:rsidRPr="005C3A8C">
                  <w:rPr>
                    <w:rFonts w:ascii="Segoe UI Symbol" w:eastAsia="MS Gothic" w:hAnsi="Segoe UI Symbol" w:cs="Segoe UI Symbol"/>
                  </w:rPr>
                  <w:t>☐</w:t>
                </w:r>
              </w:sdtContent>
            </w:sdt>
            <w:r w:rsidR="005C3A8C" w:rsidRPr="005C3A8C" w:rsidDel="007208BD">
              <w:rPr>
                <w:rFonts w:ascii="Times New Roman" w:hAnsi="Times New Roman"/>
                <w:b/>
              </w:rPr>
              <w:t xml:space="preserve"> </w:t>
            </w:r>
            <w:r w:rsidR="005C3A8C" w:rsidRPr="005C3A8C">
              <w:rPr>
                <w:rFonts w:ascii="Times New Roman" w:hAnsi="Times New Roman"/>
              </w:rPr>
              <w:t>Other Devices</w:t>
            </w:r>
          </w:p>
        </w:tc>
        <w:tc>
          <w:tcPr>
            <w:tcW w:w="4685" w:type="dxa"/>
            <w:vAlign w:val="center"/>
          </w:tcPr>
          <w:p w14:paraId="35B51A83" w14:textId="77777777" w:rsidR="005C3A8C" w:rsidRDefault="005C3A8C" w:rsidP="004A1A96"/>
        </w:tc>
      </w:tr>
    </w:tbl>
    <w:p w14:paraId="6707A995" w14:textId="6B6E9B53" w:rsidR="005C3A8C" w:rsidRDefault="005C3A8C" w:rsidP="00877FD7">
      <w:pPr>
        <w:pStyle w:val="BlockText"/>
        <w:numPr>
          <w:ilvl w:val="0"/>
          <w:numId w:val="46"/>
        </w:numPr>
        <w:ind w:right="0"/>
      </w:pPr>
      <w:r w:rsidRPr="00AB0BFA">
        <w:t>If the control of the drugs or devices used in this protocol will be accomplished by following an established, approved organizational SOP (e.g., Research Pharmacy SOP for the Control of Investigational Drugs, etc.), please reference that SOP in this section</w:t>
      </w:r>
      <w:r>
        <w:t xml:space="preserve"> and attach as an appendix at the end of the protocol</w:t>
      </w:r>
      <w:r w:rsidRPr="00AB0BFA">
        <w:t>.</w:t>
      </w:r>
    </w:p>
    <w:p w14:paraId="0790FD8A" w14:textId="53BCD2C6" w:rsidR="007B670A" w:rsidRDefault="00451052" w:rsidP="00877FD7">
      <w:pPr>
        <w:pStyle w:val="BlockText"/>
        <w:ind w:left="0" w:right="0"/>
        <w:rPr>
          <w:i w:val="0"/>
        </w:rPr>
      </w:pPr>
      <w:r>
        <w:rPr>
          <w:i w:val="0"/>
        </w:rPr>
        <w:t xml:space="preserve">5.3 </w:t>
      </w:r>
      <w:r w:rsidR="009470D1">
        <w:rPr>
          <w:i w:val="0"/>
        </w:rPr>
        <w:t xml:space="preserve">The pharmacy will order and deliver the teriflunomide and colestipol HCL to research staff on the approved list of authorized staff. Research staff will keep a drug accountability log of all intake and dispensations of the study drugs. Research staff has been trained on enrollment of patients and drug handling per the attached SOP. Subjects will be given the study drugs in person after verification of the subject ID, DOB, and name. </w:t>
      </w:r>
    </w:p>
    <w:p w14:paraId="0DEEE80D" w14:textId="29F8C435" w:rsidR="009470D1" w:rsidRDefault="009470D1" w:rsidP="00877FD7">
      <w:pPr>
        <w:pStyle w:val="BlockText"/>
        <w:ind w:left="0" w:right="0"/>
        <w:rPr>
          <w:i w:val="0"/>
        </w:rPr>
      </w:pPr>
      <w:r>
        <w:rPr>
          <w:i w:val="0"/>
        </w:rPr>
        <w:t xml:space="preserve">Teriflunomide is indicated for the treatment of patients with relapsing forms of multiple sclerosis. Colestipol HCL is indicated as adjunctive therapy to diet for the reduction of </w:t>
      </w:r>
      <w:r>
        <w:rPr>
          <w:i w:val="0"/>
        </w:rPr>
        <w:lastRenderedPageBreak/>
        <w:t xml:space="preserve">elevated serum total and LCL-C in patients with primary hypercholesterolemia who do not respond adequately to diet. </w:t>
      </w:r>
      <w:r w:rsidR="00CB17FE">
        <w:rPr>
          <w:i w:val="0"/>
        </w:rPr>
        <w:t xml:space="preserve">Neither study drug are approved for use in health patients. </w:t>
      </w:r>
      <w:r w:rsidR="003F3DD1" w:rsidRPr="003F3DD1">
        <w:rPr>
          <w:i w:val="0"/>
        </w:rPr>
        <w:t>If a participant needs an accelerated elimination of teriflunomide, the oral administration of cholestyramine, an anion-exchange resin, or activated charcoal can be administered</w:t>
      </w:r>
      <w:r w:rsidR="003F3DD1">
        <w:rPr>
          <w:i w:val="0"/>
        </w:rPr>
        <w:t xml:space="preserve">. </w:t>
      </w:r>
    </w:p>
    <w:p w14:paraId="11E12794" w14:textId="77777777" w:rsidR="002A37EA" w:rsidRDefault="00CB17FE" w:rsidP="00CB17FE">
      <w:pPr>
        <w:pStyle w:val="BlockText"/>
        <w:ind w:left="0" w:right="0"/>
        <w:rPr>
          <w:i w:val="0"/>
        </w:rPr>
      </w:pPr>
      <w:r w:rsidRPr="00CB17FE">
        <w:rPr>
          <w:i w:val="0"/>
        </w:rPr>
        <w:t xml:space="preserve">The IND regulations [21 CFR 312.2(b)] state that the clinical investigation of a drug product, including a biological product, that is lawfully marketed in the United States, is exempt from the requirements for an IND if all of the following apply: </w:t>
      </w:r>
    </w:p>
    <w:p w14:paraId="68047F73" w14:textId="3EFFDC96" w:rsidR="002A37EA" w:rsidRDefault="00CB17FE" w:rsidP="00CB17FE">
      <w:pPr>
        <w:pStyle w:val="BlockText"/>
        <w:ind w:left="0" w:right="0"/>
        <w:rPr>
          <w:i w:val="0"/>
        </w:rPr>
      </w:pPr>
      <w:r w:rsidRPr="00CB17FE">
        <w:rPr>
          <w:i w:val="0"/>
        </w:rPr>
        <w:t>1. The investigation is not intended to be reported to FDA as a well-controlled study in support of a new indication for use, nor intended to be used to support any other significant chan</w:t>
      </w:r>
      <w:r w:rsidR="002A37EA">
        <w:rPr>
          <w:i w:val="0"/>
        </w:rPr>
        <w:t>ge in the labeling for the drug;</w:t>
      </w:r>
      <w:r w:rsidRPr="00CB17FE">
        <w:rPr>
          <w:i w:val="0"/>
        </w:rPr>
        <w:t xml:space="preserve"> </w:t>
      </w:r>
    </w:p>
    <w:p w14:paraId="7E7A2E7D" w14:textId="093B2579" w:rsidR="002A37EA" w:rsidRDefault="00CB17FE" w:rsidP="00CB17FE">
      <w:pPr>
        <w:pStyle w:val="BlockText"/>
        <w:ind w:left="0" w:right="0"/>
        <w:rPr>
          <w:i w:val="0"/>
        </w:rPr>
      </w:pPr>
      <w:r w:rsidRPr="00CB17FE">
        <w:rPr>
          <w:i w:val="0"/>
        </w:rPr>
        <w:t>2. The investigation is not intended to support a significant change in the advertising f</w:t>
      </w:r>
      <w:r w:rsidR="002A37EA">
        <w:rPr>
          <w:i w:val="0"/>
        </w:rPr>
        <w:t xml:space="preserve">or a prescription drug product; </w:t>
      </w:r>
    </w:p>
    <w:p w14:paraId="64C17476" w14:textId="75F781E9" w:rsidR="002A37EA" w:rsidRDefault="00CB17FE" w:rsidP="00CB17FE">
      <w:pPr>
        <w:pStyle w:val="BlockText"/>
        <w:ind w:left="0" w:right="0"/>
        <w:rPr>
          <w:i w:val="0"/>
        </w:rPr>
      </w:pPr>
      <w:r w:rsidRPr="00CB17FE">
        <w:rPr>
          <w:i w:val="0"/>
        </w:rPr>
        <w:t>3. The investigation does not involve a change in route of administration, dosage level, or patient population, or other factor that significantly increases the risks (or decreases the acceptability of risks) associat</w:t>
      </w:r>
      <w:r w:rsidR="002A37EA">
        <w:rPr>
          <w:i w:val="0"/>
        </w:rPr>
        <w:t>ed with use of the drug product;</w:t>
      </w:r>
      <w:r w:rsidRPr="00CB17FE">
        <w:rPr>
          <w:i w:val="0"/>
        </w:rPr>
        <w:t xml:space="preserve"> </w:t>
      </w:r>
    </w:p>
    <w:p w14:paraId="539E1EF6" w14:textId="0EDB58DB" w:rsidR="002A37EA" w:rsidRDefault="00CB17FE" w:rsidP="00CB17FE">
      <w:pPr>
        <w:pStyle w:val="BlockText"/>
        <w:ind w:left="0" w:right="0"/>
        <w:rPr>
          <w:i w:val="0"/>
        </w:rPr>
      </w:pPr>
      <w:r w:rsidRPr="00CB17FE">
        <w:rPr>
          <w:i w:val="0"/>
        </w:rPr>
        <w:t>4. The investigation is conducted in compliance with the requirements for institutional review (21 CFR Part 56) and inf</w:t>
      </w:r>
      <w:r w:rsidR="002A37EA">
        <w:rPr>
          <w:i w:val="0"/>
        </w:rPr>
        <w:t>ormed consent (21 CFR Part 50); and</w:t>
      </w:r>
    </w:p>
    <w:p w14:paraId="3F2B19B0" w14:textId="03AB49F3" w:rsidR="002A37EA" w:rsidRDefault="00CB17FE" w:rsidP="00CB17FE">
      <w:pPr>
        <w:pStyle w:val="BlockText"/>
        <w:ind w:left="0" w:right="0"/>
        <w:rPr>
          <w:i w:val="0"/>
        </w:rPr>
      </w:pPr>
      <w:r w:rsidRPr="00CB17FE">
        <w:rPr>
          <w:i w:val="0"/>
        </w:rPr>
        <w:t>5. The investigation is conducted in compliance with the requirements of 21 CFR 312.7</w:t>
      </w:r>
      <w:r w:rsidR="002A37EA">
        <w:rPr>
          <w:i w:val="0"/>
        </w:rPr>
        <w:t xml:space="preserve"> (</w:t>
      </w:r>
      <w:r w:rsidRPr="00CB17FE">
        <w:rPr>
          <w:i w:val="0"/>
        </w:rPr>
        <w:t>the drug may not be represented as safe or effective, nor may it be commercially distributed, for the purposes for which it is under investigation</w:t>
      </w:r>
      <w:r w:rsidR="002A37EA">
        <w:rPr>
          <w:i w:val="0"/>
        </w:rPr>
        <w:t>)</w:t>
      </w:r>
      <w:r w:rsidRPr="00CB17FE">
        <w:rPr>
          <w:i w:val="0"/>
        </w:rPr>
        <w:t>.</w:t>
      </w:r>
    </w:p>
    <w:p w14:paraId="5D40A586" w14:textId="61AA0FE6" w:rsidR="002A37EA" w:rsidRPr="00CB17FE" w:rsidRDefault="002A37EA" w:rsidP="00CB17FE">
      <w:pPr>
        <w:pStyle w:val="BlockText"/>
        <w:ind w:left="0" w:right="0"/>
        <w:rPr>
          <w:i w:val="0"/>
        </w:rPr>
      </w:pPr>
      <w:r>
        <w:rPr>
          <w:i w:val="0"/>
        </w:rPr>
        <w:t xml:space="preserve">The FDA has concurred with the study team’s assessment that the unapproved use of </w:t>
      </w:r>
      <w:r w:rsidR="000463BF">
        <w:rPr>
          <w:i w:val="0"/>
        </w:rPr>
        <w:t>the study</w:t>
      </w:r>
      <w:r>
        <w:rPr>
          <w:i w:val="0"/>
        </w:rPr>
        <w:t xml:space="preserve"> drugs meets the criteria for an IND exemption. </w:t>
      </w:r>
    </w:p>
    <w:p w14:paraId="26C19E47" w14:textId="3FF589A9" w:rsidR="007B670A" w:rsidRPr="00B27006" w:rsidRDefault="00451052" w:rsidP="00B27006">
      <w:pPr>
        <w:rPr>
          <w:rFonts w:ascii="Times New Roman" w:hAnsi="Times New Roman"/>
        </w:rPr>
      </w:pPr>
      <w:r w:rsidRPr="00B27006">
        <w:rPr>
          <w:rFonts w:ascii="Times New Roman" w:hAnsi="Times New Roman"/>
        </w:rPr>
        <w:t xml:space="preserve">5.4 </w:t>
      </w:r>
      <w:r w:rsidR="00B27006">
        <w:rPr>
          <w:rFonts w:ascii="Times New Roman" w:hAnsi="Times New Roman"/>
        </w:rPr>
        <w:t>N</w:t>
      </w:r>
      <w:r w:rsidR="00A158F8">
        <w:rPr>
          <w:rFonts w:ascii="Times New Roman" w:hAnsi="Times New Roman"/>
        </w:rPr>
        <w:t>/</w:t>
      </w:r>
      <w:r w:rsidR="00B27006">
        <w:rPr>
          <w:rFonts w:ascii="Times New Roman" w:hAnsi="Times New Roman"/>
        </w:rPr>
        <w:t>A</w:t>
      </w:r>
    </w:p>
    <w:p w14:paraId="397A1E0D" w14:textId="34D6037D" w:rsidR="00297491" w:rsidRDefault="00451052" w:rsidP="00877FD7">
      <w:pPr>
        <w:pStyle w:val="BlockText"/>
        <w:ind w:left="0" w:right="0"/>
      </w:pPr>
      <w:r>
        <w:rPr>
          <w:i w:val="0"/>
        </w:rPr>
        <w:t xml:space="preserve">5.5 </w:t>
      </w:r>
      <w:r w:rsidR="001342C6">
        <w:rPr>
          <w:i w:val="0"/>
        </w:rPr>
        <w:t>N/A</w:t>
      </w:r>
      <w:r w:rsidR="00B83ED6">
        <w:t xml:space="preserve"> </w:t>
      </w:r>
    </w:p>
    <w:p w14:paraId="1CDFA2AE" w14:textId="77777777" w:rsidR="00297491" w:rsidRPr="00AA2384" w:rsidRDefault="00297491" w:rsidP="004A1A96">
      <w:pPr>
        <w:pStyle w:val="Heading1"/>
      </w:pPr>
      <w:bookmarkStart w:id="6" w:name="_Toc18064203"/>
      <w:r w:rsidRPr="00AA2384">
        <w:t xml:space="preserve">Procedures </w:t>
      </w:r>
      <w:r w:rsidRPr="00A01D71">
        <w:t>Involved</w:t>
      </w:r>
      <w:bookmarkEnd w:id="6"/>
    </w:p>
    <w:p w14:paraId="4A70AB67" w14:textId="304503AB" w:rsidR="00297491" w:rsidRDefault="00451052" w:rsidP="00877FD7">
      <w:pPr>
        <w:pStyle w:val="BlockText"/>
        <w:ind w:left="0" w:right="0"/>
      </w:pPr>
      <w:r>
        <w:rPr>
          <w:i w:val="0"/>
        </w:rPr>
        <w:t>6.1</w:t>
      </w:r>
      <w:r w:rsidR="00A47C66">
        <w:rPr>
          <w:i w:val="0"/>
        </w:rPr>
        <w:t xml:space="preserve"> This is a n</w:t>
      </w:r>
      <w:r w:rsidR="00A47C66" w:rsidRPr="00A47C66">
        <w:rPr>
          <w:i w:val="0"/>
        </w:rPr>
        <w:t>on-randomized, two-period, two-treatment, single sequence PK interaction study.</w:t>
      </w:r>
      <w:r w:rsidR="00A47C66">
        <w:rPr>
          <w:i w:val="0"/>
        </w:rPr>
        <w:t xml:space="preserve"> </w:t>
      </w:r>
    </w:p>
    <w:p w14:paraId="5F6C5F1D" w14:textId="23035FDC" w:rsidR="00827030" w:rsidRDefault="00451052" w:rsidP="00877FD7">
      <w:pPr>
        <w:pStyle w:val="BlockText"/>
        <w:ind w:left="0" w:right="0"/>
      </w:pPr>
      <w:r>
        <w:rPr>
          <w:i w:val="0"/>
        </w:rPr>
        <w:t xml:space="preserve">6.2 </w:t>
      </w:r>
      <w:r w:rsidR="00827030" w:rsidRPr="00827030">
        <w:t xml:space="preserve"> </w:t>
      </w:r>
    </w:p>
    <w:tbl>
      <w:tblPr>
        <w:tblpPr w:leftFromText="180" w:rightFromText="180" w:vertAnchor="text" w:horzAnchor="page" w:tblpX="1796" w:tblpY="21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590"/>
      </w:tblGrid>
      <w:tr w:rsidR="00F670E5" w14:paraId="58C69C27" w14:textId="77777777" w:rsidTr="005D04DB">
        <w:tc>
          <w:tcPr>
            <w:tcW w:w="4675" w:type="dxa"/>
            <w:vAlign w:val="center"/>
          </w:tcPr>
          <w:p w14:paraId="5B89CD6D" w14:textId="04DD4A58" w:rsidR="00F670E5" w:rsidRDefault="004E335B" w:rsidP="004A1A96">
            <w:sdt>
              <w:sdtPr>
                <w:id w:val="-1708783561"/>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Audio/Video R</w:t>
            </w:r>
            <w:r w:rsidR="00F670E5" w:rsidRPr="00E66D54">
              <w:t>ecording</w:t>
            </w:r>
          </w:p>
        </w:tc>
        <w:tc>
          <w:tcPr>
            <w:tcW w:w="4590" w:type="dxa"/>
            <w:vAlign w:val="center"/>
          </w:tcPr>
          <w:p w14:paraId="509AAC08" w14:textId="0D75BA89" w:rsidR="00F670E5" w:rsidRPr="00CD4011" w:rsidRDefault="004E335B" w:rsidP="004A1A96">
            <w:pPr>
              <w:ind w:left="256" w:hanging="256"/>
              <w:rPr>
                <w:rFonts w:asciiTheme="minorHAnsi" w:hAnsiTheme="minorHAnsi" w:cstheme="minorHAnsi"/>
              </w:rPr>
            </w:pPr>
            <w:sdt>
              <w:sdtPr>
                <w:id w:val="1081487689"/>
                <w14:checkbox>
                  <w14:checked w14:val="1"/>
                  <w14:checkedState w14:val="2612" w14:font="MS Gothic"/>
                  <w14:uncheckedState w14:val="2610" w14:font="MS Gothic"/>
                </w14:checkbox>
              </w:sdtPr>
              <w:sdtEndPr/>
              <w:sdtContent>
                <w:r w:rsidR="00E45D46">
                  <w:rPr>
                    <w:rFonts w:ascii="MS Gothic" w:eastAsia="MS Gothic" w:hAnsi="MS Gothic" w:hint="eastAsia"/>
                  </w:rPr>
                  <w:t>☒</w:t>
                </w:r>
              </w:sdtContent>
            </w:sdt>
            <w:r w:rsidR="00E45D46">
              <w:t>Physical Exam</w:t>
            </w:r>
          </w:p>
        </w:tc>
      </w:tr>
      <w:tr w:rsidR="00F670E5" w14:paraId="2C8543D9" w14:textId="77777777" w:rsidTr="005D04DB">
        <w:tc>
          <w:tcPr>
            <w:tcW w:w="4675" w:type="dxa"/>
            <w:vAlign w:val="center"/>
          </w:tcPr>
          <w:p w14:paraId="56615790" w14:textId="125DCDE9" w:rsidR="00F670E5" w:rsidRDefault="004E335B" w:rsidP="004A1A96">
            <w:sdt>
              <w:sdtPr>
                <w:id w:val="-2119054930"/>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Blinding</w:t>
            </w:r>
          </w:p>
        </w:tc>
        <w:tc>
          <w:tcPr>
            <w:tcW w:w="4590" w:type="dxa"/>
            <w:vAlign w:val="center"/>
          </w:tcPr>
          <w:p w14:paraId="6F690F85" w14:textId="6B540D0D" w:rsidR="00F670E5" w:rsidRDefault="004E335B" w:rsidP="004A1A96">
            <w:pPr>
              <w:ind w:left="256" w:hanging="256"/>
            </w:pPr>
            <w:sdt>
              <w:sdtPr>
                <w:id w:val="1401172505"/>
                <w14:checkbox>
                  <w14:checked w14:val="0"/>
                  <w14:checkedState w14:val="2612" w14:font="MS Gothic"/>
                  <w14:uncheckedState w14:val="2610" w14:font="MS Gothic"/>
                </w14:checkbox>
              </w:sdtPr>
              <w:sdtEndPr/>
              <w:sdtContent>
                <w:r w:rsidR="005D04DB">
                  <w:rPr>
                    <w:rFonts w:ascii="MS Gothic" w:eastAsia="MS Gothic" w:hAnsi="MS Gothic" w:hint="eastAsia"/>
                  </w:rPr>
                  <w:t>☐</w:t>
                </w:r>
              </w:sdtContent>
            </w:sdt>
            <w:r w:rsidR="00E45D46">
              <w:t>Radiation or Radiation-Producing Machines (e.g. X-ray, CT, etc.)</w:t>
            </w:r>
          </w:p>
        </w:tc>
      </w:tr>
      <w:tr w:rsidR="00F670E5" w14:paraId="59D164CB" w14:textId="77777777" w:rsidTr="005D04DB">
        <w:tc>
          <w:tcPr>
            <w:tcW w:w="4675" w:type="dxa"/>
            <w:vAlign w:val="center"/>
          </w:tcPr>
          <w:p w14:paraId="0F88B048" w14:textId="636817B5" w:rsidR="00F670E5" w:rsidRDefault="004E335B" w:rsidP="004A1A96">
            <w:sdt>
              <w:sdtPr>
                <w:id w:val="-1089156954"/>
                <w14:checkbox>
                  <w14:checked w14:val="0"/>
                  <w14:checkedState w14:val="2612" w14:font="MS Gothic"/>
                  <w14:uncheckedState w14:val="2610" w14:font="MS Gothic"/>
                </w14:checkbox>
              </w:sdtPr>
              <w:sdtEndPr/>
              <w:sdtContent>
                <w:r w:rsidR="006D38C0">
                  <w:rPr>
                    <w:rFonts w:ascii="MS Gothic" w:eastAsia="MS Gothic" w:hAnsi="MS Gothic" w:hint="eastAsia"/>
                  </w:rPr>
                  <w:t>☐</w:t>
                </w:r>
              </w:sdtContent>
            </w:sdt>
            <w:r w:rsidR="00F670E5">
              <w:t>Control Group</w:t>
            </w:r>
          </w:p>
        </w:tc>
        <w:tc>
          <w:tcPr>
            <w:tcW w:w="4590" w:type="dxa"/>
            <w:vAlign w:val="center"/>
          </w:tcPr>
          <w:p w14:paraId="09DF6279" w14:textId="6251762F" w:rsidR="00F670E5" w:rsidRDefault="004E335B" w:rsidP="004A1A96">
            <w:sdt>
              <w:sdtPr>
                <w:id w:val="-316812548"/>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E45D46">
              <w:t>Radioactive Materials (e.g. Radiopharmaceuticals)</w:t>
            </w:r>
          </w:p>
        </w:tc>
      </w:tr>
      <w:tr w:rsidR="00F670E5" w14:paraId="6E7BA3F9" w14:textId="77777777" w:rsidTr="005D04DB">
        <w:tc>
          <w:tcPr>
            <w:tcW w:w="4675" w:type="dxa"/>
            <w:vAlign w:val="center"/>
          </w:tcPr>
          <w:p w14:paraId="5114995C" w14:textId="212F7BCD" w:rsidR="00F670E5" w:rsidRDefault="004E335B" w:rsidP="004A1A96">
            <w:sdt>
              <w:sdtPr>
                <w:id w:val="-662543998"/>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rsidRPr="00E66D54">
              <w:t>Deception</w:t>
            </w:r>
          </w:p>
        </w:tc>
        <w:tc>
          <w:tcPr>
            <w:tcW w:w="4590" w:type="dxa"/>
            <w:vAlign w:val="center"/>
          </w:tcPr>
          <w:p w14:paraId="1E4C418E" w14:textId="57902F0C" w:rsidR="00F670E5" w:rsidRDefault="004E335B" w:rsidP="004A1A96">
            <w:sdt>
              <w:sdtPr>
                <w:id w:val="586116592"/>
                <w14:checkbox>
                  <w14:checked w14:val="0"/>
                  <w14:checkedState w14:val="2612" w14:font="MS Gothic"/>
                  <w14:uncheckedState w14:val="2610" w14:font="MS Gothic"/>
                </w14:checkbox>
              </w:sdtPr>
              <w:sdtEndPr/>
              <w:sdtContent>
                <w:r w:rsidR="00E13A34">
                  <w:rPr>
                    <w:rFonts w:ascii="MS Gothic" w:eastAsia="MS Gothic" w:hAnsi="MS Gothic" w:hint="eastAsia"/>
                  </w:rPr>
                  <w:t>☐</w:t>
                </w:r>
              </w:sdtContent>
            </w:sdt>
            <w:r w:rsidR="00E45D46">
              <w:t>Randomization</w:t>
            </w:r>
            <w:r w:rsidR="00E45D46" w:rsidRPr="00E66D54" w:rsidDel="00E45D46">
              <w:t xml:space="preserve"> </w:t>
            </w:r>
          </w:p>
        </w:tc>
      </w:tr>
      <w:tr w:rsidR="00F670E5" w14:paraId="2EFC6406" w14:textId="77777777" w:rsidTr="005D04DB">
        <w:tc>
          <w:tcPr>
            <w:tcW w:w="4675" w:type="dxa"/>
            <w:vAlign w:val="center"/>
          </w:tcPr>
          <w:p w14:paraId="184E7AED" w14:textId="409DC9BF" w:rsidR="00F670E5" w:rsidRDefault="004E335B" w:rsidP="004A1A96">
            <w:sdt>
              <w:sdtPr>
                <w:id w:val="402270233"/>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Focus Groups</w:t>
            </w:r>
          </w:p>
        </w:tc>
        <w:tc>
          <w:tcPr>
            <w:tcW w:w="4590" w:type="dxa"/>
            <w:vAlign w:val="center"/>
          </w:tcPr>
          <w:p w14:paraId="15CE8621" w14:textId="7F38D76B" w:rsidR="00F670E5" w:rsidRDefault="004E335B" w:rsidP="004A1A96">
            <w:sdt>
              <w:sdtPr>
                <w:id w:val="-419940709"/>
                <w14:checkbox>
                  <w14:checked w14:val="0"/>
                  <w14:checkedState w14:val="2612" w14:font="MS Gothic"/>
                  <w14:uncheckedState w14:val="2610" w14:font="MS Gothic"/>
                </w14:checkbox>
              </w:sdtPr>
              <w:sdtEndPr/>
              <w:sdtContent>
                <w:r w:rsidR="00E45D46">
                  <w:rPr>
                    <w:rFonts w:ascii="MS Gothic" w:eastAsia="MS Gothic" w:hAnsi="MS Gothic" w:hint="eastAsia"/>
                  </w:rPr>
                  <w:t>☐</w:t>
                </w:r>
              </w:sdtContent>
            </w:sdt>
            <w:r w:rsidR="00E45D46" w:rsidRPr="00E66D54">
              <w:t>Record</w:t>
            </w:r>
            <w:r w:rsidR="00E45D46">
              <w:t>, Chart, or Dataset Review</w:t>
            </w:r>
            <w:r w:rsidR="00E45D46" w:rsidDel="00E45D46">
              <w:t xml:space="preserve"> </w:t>
            </w:r>
          </w:p>
        </w:tc>
      </w:tr>
      <w:tr w:rsidR="00E45D46" w14:paraId="008615BF" w14:textId="77777777" w:rsidTr="005D04DB">
        <w:tc>
          <w:tcPr>
            <w:tcW w:w="4675" w:type="dxa"/>
            <w:vAlign w:val="center"/>
          </w:tcPr>
          <w:p w14:paraId="0E858D6F" w14:textId="307DB869" w:rsidR="00E45D46" w:rsidRDefault="004E335B" w:rsidP="004A1A96">
            <w:sdt>
              <w:sdtPr>
                <w:id w:val="-1121839037"/>
                <w14:checkbox>
                  <w14:checked w14:val="1"/>
                  <w14:checkedState w14:val="2612" w14:font="MS Gothic"/>
                  <w14:uncheckedState w14:val="2610" w14:font="MS Gothic"/>
                </w14:checkbox>
              </w:sdtPr>
              <w:sdtEndPr/>
              <w:sdtContent>
                <w:r w:rsidR="00E45D46">
                  <w:rPr>
                    <w:rFonts w:ascii="MS Gothic" w:eastAsia="MS Gothic" w:hAnsi="MS Gothic" w:hint="eastAsia"/>
                  </w:rPr>
                  <w:t>☒</w:t>
                </w:r>
              </w:sdtContent>
            </w:sdt>
            <w:r w:rsidR="00E45D46">
              <w:t>Follow-Up Call</w:t>
            </w:r>
          </w:p>
        </w:tc>
        <w:tc>
          <w:tcPr>
            <w:tcW w:w="4590" w:type="dxa"/>
            <w:vAlign w:val="center"/>
          </w:tcPr>
          <w:p w14:paraId="348F824A" w14:textId="44CCF50D" w:rsidR="00E45D46" w:rsidRDefault="004E335B" w:rsidP="004A1A96">
            <w:sdt>
              <w:sdtPr>
                <w:id w:val="2134449080"/>
                <w14:checkbox>
                  <w14:checked w14:val="1"/>
                  <w14:checkedState w14:val="2612" w14:font="MS Gothic"/>
                  <w14:uncheckedState w14:val="2610" w14:font="MS Gothic"/>
                </w14:checkbox>
              </w:sdtPr>
              <w:sdtEndPr/>
              <w:sdtContent>
                <w:r w:rsidR="00E45D46">
                  <w:rPr>
                    <w:rFonts w:ascii="MS Gothic" w:eastAsia="MS Gothic" w:hAnsi="MS Gothic" w:hint="eastAsia"/>
                  </w:rPr>
                  <w:t>☒</w:t>
                </w:r>
              </w:sdtContent>
            </w:sdt>
            <w:r w:rsidR="00E45D46">
              <w:t>Specimen Analysis</w:t>
            </w:r>
          </w:p>
        </w:tc>
      </w:tr>
      <w:tr w:rsidR="00F670E5" w14:paraId="1A4611BD" w14:textId="77777777" w:rsidTr="005D04DB">
        <w:tc>
          <w:tcPr>
            <w:tcW w:w="4675" w:type="dxa"/>
            <w:vAlign w:val="center"/>
          </w:tcPr>
          <w:p w14:paraId="23961153" w14:textId="71CB3B56" w:rsidR="00F670E5" w:rsidRPr="00E66D54" w:rsidRDefault="004E335B" w:rsidP="004A1A96">
            <w:pPr>
              <w:rPr>
                <w:b/>
              </w:rPr>
            </w:pPr>
            <w:sdt>
              <w:sdtPr>
                <w:id w:val="2099979134"/>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Interviews</w:t>
            </w:r>
          </w:p>
        </w:tc>
        <w:tc>
          <w:tcPr>
            <w:tcW w:w="4590" w:type="dxa"/>
            <w:vAlign w:val="center"/>
          </w:tcPr>
          <w:p w14:paraId="4F235A25" w14:textId="33749314" w:rsidR="00F670E5" w:rsidRPr="00E66D54" w:rsidRDefault="004E335B" w:rsidP="004A1A96">
            <w:pPr>
              <w:rPr>
                <w:b/>
              </w:rPr>
            </w:pPr>
            <w:sdt>
              <w:sdtPr>
                <w:id w:val="1329100207"/>
                <w14:checkbox>
                  <w14:checked w14:val="1"/>
                  <w14:checkedState w14:val="2612" w14:font="MS Gothic"/>
                  <w14:uncheckedState w14:val="2610" w14:font="MS Gothic"/>
                </w14:checkbox>
              </w:sdtPr>
              <w:sdtEndPr/>
              <w:sdtContent>
                <w:r w:rsidR="00E13A34">
                  <w:rPr>
                    <w:rFonts w:ascii="MS Gothic" w:eastAsia="MS Gothic" w:hAnsi="MS Gothic" w:hint="eastAsia"/>
                  </w:rPr>
                  <w:t>☒</w:t>
                </w:r>
              </w:sdtContent>
            </w:sdt>
            <w:r w:rsidR="00F670E5">
              <w:t>Specimen Collection</w:t>
            </w:r>
          </w:p>
        </w:tc>
      </w:tr>
      <w:tr w:rsidR="00F670E5" w14:paraId="3804C101" w14:textId="77777777" w:rsidTr="005D04DB">
        <w:tc>
          <w:tcPr>
            <w:tcW w:w="4675" w:type="dxa"/>
            <w:vAlign w:val="center"/>
          </w:tcPr>
          <w:p w14:paraId="0D234067" w14:textId="1579C1B4" w:rsidR="00F670E5" w:rsidRPr="00E66D54" w:rsidRDefault="004E335B" w:rsidP="004A1A96">
            <w:pPr>
              <w:rPr>
                <w:b/>
              </w:rPr>
            </w:pPr>
            <w:sdt>
              <w:sdtPr>
                <w:id w:val="-65033711"/>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New Innovative Practice/Therapy</w:t>
            </w:r>
          </w:p>
        </w:tc>
        <w:tc>
          <w:tcPr>
            <w:tcW w:w="4590" w:type="dxa"/>
            <w:vAlign w:val="center"/>
          </w:tcPr>
          <w:p w14:paraId="1C6A6080" w14:textId="45D5DE11" w:rsidR="00F670E5" w:rsidRPr="00E66D54" w:rsidRDefault="004E335B" w:rsidP="004A1A96">
            <w:pPr>
              <w:rPr>
                <w:b/>
              </w:rPr>
            </w:pPr>
            <w:sdt>
              <w:sdtPr>
                <w:id w:val="-485542981"/>
                <w14:checkbox>
                  <w14:checked w14:val="1"/>
                  <w14:checkedState w14:val="2612" w14:font="MS Gothic"/>
                  <w14:uncheckedState w14:val="2610" w14:font="MS Gothic"/>
                </w14:checkbox>
              </w:sdtPr>
              <w:sdtEndPr/>
              <w:sdtContent>
                <w:r w:rsidR="00F472A4">
                  <w:rPr>
                    <w:rFonts w:ascii="MS Gothic" w:eastAsia="MS Gothic" w:hAnsi="MS Gothic" w:hint="eastAsia"/>
                  </w:rPr>
                  <w:t>☒</w:t>
                </w:r>
              </w:sdtContent>
            </w:sdt>
            <w:r w:rsidR="00F670E5">
              <w:t>Surveys and/or Questionnaires</w:t>
            </w:r>
          </w:p>
        </w:tc>
      </w:tr>
      <w:tr w:rsidR="00F670E5" w14:paraId="13FE42DA" w14:textId="77777777" w:rsidTr="005D04DB">
        <w:tc>
          <w:tcPr>
            <w:tcW w:w="4675" w:type="dxa"/>
            <w:vAlign w:val="center"/>
          </w:tcPr>
          <w:p w14:paraId="296D072D" w14:textId="1563AE14" w:rsidR="00F670E5" w:rsidRPr="00E66D54" w:rsidRDefault="004E335B" w:rsidP="004A1A96">
            <w:pPr>
              <w:ind w:left="240" w:hanging="240"/>
              <w:rPr>
                <w:b/>
              </w:rPr>
            </w:pPr>
            <w:sdt>
              <w:sdtPr>
                <w:id w:val="1430088015"/>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rsidRPr="00D62043">
              <w:t>New Investigational Procedure (</w:t>
            </w:r>
            <w:r w:rsidR="00F670E5">
              <w:t xml:space="preserve">e.g. a new surgical procedure) </w:t>
            </w:r>
          </w:p>
        </w:tc>
        <w:tc>
          <w:tcPr>
            <w:tcW w:w="4590" w:type="dxa"/>
            <w:vAlign w:val="center"/>
          </w:tcPr>
          <w:p w14:paraId="56B90B95" w14:textId="174EBA49" w:rsidR="00F670E5" w:rsidRPr="00E66D54" w:rsidRDefault="004E335B" w:rsidP="004A1A96">
            <w:pPr>
              <w:rPr>
                <w:b/>
              </w:rPr>
            </w:pPr>
            <w:sdt>
              <w:sdtPr>
                <w:id w:val="1520814813"/>
                <w14:checkbox>
                  <w14:checked w14:val="0"/>
                  <w14:checkedState w14:val="2612" w14:font="MS Gothic"/>
                  <w14:uncheckedState w14:val="2610" w14:font="MS Gothic"/>
                </w14:checkbox>
              </w:sdtPr>
              <w:sdtEndPr/>
              <w:sdtContent>
                <w:r w:rsidR="00E45D46">
                  <w:rPr>
                    <w:rFonts w:ascii="MS Gothic" w:eastAsia="MS Gothic" w:hAnsi="MS Gothic" w:hint="eastAsia"/>
                  </w:rPr>
                  <w:t>☐</w:t>
                </w:r>
              </w:sdtContent>
            </w:sdt>
            <w:r w:rsidR="00F670E5">
              <w:t xml:space="preserve">Other Biomedical Procedures </w:t>
            </w:r>
          </w:p>
        </w:tc>
      </w:tr>
    </w:tbl>
    <w:p w14:paraId="2DCCCBB4" w14:textId="5B3C836F" w:rsidR="001106EC" w:rsidRDefault="001106EC" w:rsidP="00877FD7">
      <w:pPr>
        <w:pStyle w:val="BlockText"/>
        <w:ind w:left="0" w:right="0"/>
        <w:rPr>
          <w:i w:val="0"/>
        </w:rPr>
      </w:pPr>
    </w:p>
    <w:p w14:paraId="3B8B1A6F" w14:textId="48F6518A" w:rsidR="00793ACA" w:rsidRDefault="00793ACA" w:rsidP="00877FD7">
      <w:pPr>
        <w:pStyle w:val="BlockText"/>
        <w:ind w:left="0" w:right="0"/>
        <w:rPr>
          <w:i w:val="0"/>
        </w:rPr>
      </w:pPr>
    </w:p>
    <w:p w14:paraId="2CA2EC48" w14:textId="13905E23" w:rsidR="00793ACA" w:rsidRDefault="00793ACA" w:rsidP="00877FD7">
      <w:pPr>
        <w:pStyle w:val="BlockText"/>
        <w:ind w:left="0" w:right="0"/>
        <w:rPr>
          <w:i w:val="0"/>
        </w:rPr>
      </w:pPr>
    </w:p>
    <w:p w14:paraId="24781E13" w14:textId="56F322F7" w:rsidR="00793ACA" w:rsidRDefault="00793ACA" w:rsidP="00877FD7">
      <w:pPr>
        <w:pStyle w:val="BlockText"/>
        <w:ind w:left="0" w:right="0"/>
        <w:rPr>
          <w:i w:val="0"/>
        </w:rPr>
      </w:pPr>
      <w:r>
        <w:rPr>
          <w:i w:val="0"/>
        </w:rPr>
        <w:t>Study Flow Chart:</w:t>
      </w:r>
    </w:p>
    <w:tbl>
      <w:tblPr>
        <w:tblpPr w:leftFromText="180" w:rightFromText="180" w:vertAnchor="text" w:horzAnchor="margin" w:tblpY="76"/>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350"/>
        <w:gridCol w:w="1433"/>
        <w:gridCol w:w="846"/>
        <w:gridCol w:w="827"/>
        <w:gridCol w:w="733"/>
        <w:gridCol w:w="761"/>
        <w:gridCol w:w="715"/>
        <w:gridCol w:w="715"/>
        <w:gridCol w:w="715"/>
      </w:tblGrid>
      <w:tr w:rsidR="00793ACA" w:rsidRPr="00793ACA" w14:paraId="57B33899" w14:textId="77777777" w:rsidTr="0018404D">
        <w:trPr>
          <w:cantSplit/>
          <w:trHeight w:val="1657"/>
        </w:trPr>
        <w:tc>
          <w:tcPr>
            <w:tcW w:w="1975" w:type="dxa"/>
            <w:tcBorders>
              <w:bottom w:val="single" w:sz="4" w:space="0" w:color="auto"/>
            </w:tcBorders>
            <w:shd w:val="pct5" w:color="auto" w:fill="FFFFFF"/>
          </w:tcPr>
          <w:p w14:paraId="31C8ACF5" w14:textId="77777777" w:rsidR="00793ACA" w:rsidRPr="00793ACA" w:rsidRDefault="00793ACA" w:rsidP="0018404D">
            <w:pPr>
              <w:jc w:val="center"/>
              <w:rPr>
                <w:rFonts w:ascii="Times New Roman" w:hAnsi="Times New Roman"/>
                <w:sz w:val="20"/>
                <w:szCs w:val="20"/>
              </w:rPr>
            </w:pPr>
          </w:p>
        </w:tc>
        <w:tc>
          <w:tcPr>
            <w:tcW w:w="1350" w:type="dxa"/>
            <w:tcBorders>
              <w:bottom w:val="single" w:sz="4" w:space="0" w:color="auto"/>
            </w:tcBorders>
          </w:tcPr>
          <w:p w14:paraId="7A9FF9E2" w14:textId="77777777" w:rsidR="00793ACA" w:rsidRPr="00793ACA" w:rsidRDefault="00793ACA" w:rsidP="0018404D">
            <w:pPr>
              <w:jc w:val="center"/>
              <w:rPr>
                <w:rFonts w:ascii="Times New Roman" w:hAnsi="Times New Roman"/>
                <w:sz w:val="20"/>
                <w:szCs w:val="20"/>
                <w:lang w:val="en-GB"/>
              </w:rPr>
            </w:pPr>
            <w:r w:rsidRPr="00793ACA">
              <w:rPr>
                <w:rFonts w:ascii="Times New Roman" w:hAnsi="Times New Roman"/>
                <w:sz w:val="20"/>
                <w:szCs w:val="20"/>
                <w:lang w:val="en-GB"/>
              </w:rPr>
              <w:t>Day 0</w:t>
            </w:r>
          </w:p>
          <w:p w14:paraId="66424CDC"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lang w:val="en-GB"/>
              </w:rPr>
              <w:t>(Baseline)</w:t>
            </w:r>
          </w:p>
        </w:tc>
        <w:tc>
          <w:tcPr>
            <w:tcW w:w="1433" w:type="dxa"/>
            <w:tcBorders>
              <w:bottom w:val="single" w:sz="4" w:space="0" w:color="auto"/>
            </w:tcBorders>
          </w:tcPr>
          <w:p w14:paraId="188B743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Day 4</w:t>
            </w:r>
          </w:p>
          <w:p w14:paraId="38F5D864" w14:textId="77777777" w:rsidR="00793ACA" w:rsidRPr="00793ACA" w:rsidRDefault="00793ACA" w:rsidP="0018404D">
            <w:pPr>
              <w:rPr>
                <w:rFonts w:ascii="Times New Roman" w:hAnsi="Times New Roman"/>
                <w:sz w:val="20"/>
                <w:szCs w:val="20"/>
              </w:rPr>
            </w:pPr>
            <w:r w:rsidRPr="00793ACA">
              <w:rPr>
                <w:rFonts w:ascii="Times New Roman" w:hAnsi="Times New Roman"/>
                <w:sz w:val="20"/>
                <w:szCs w:val="20"/>
              </w:rPr>
              <w:t>(</w:t>
            </w:r>
            <w:r w:rsidRPr="00793ACA">
              <w:rPr>
                <w:rFonts w:ascii="Times New Roman" w:hAnsi="Times New Roman"/>
                <w:sz w:val="20"/>
                <w:szCs w:val="20"/>
              </w:rPr>
              <w:sym w:font="Symbol" w:char="F0B1"/>
            </w:r>
            <w:r w:rsidRPr="00793ACA">
              <w:rPr>
                <w:rFonts w:ascii="Times New Roman" w:hAnsi="Times New Roman"/>
                <w:sz w:val="20"/>
                <w:szCs w:val="20"/>
              </w:rPr>
              <w:t xml:space="preserve"> 2 Days)</w:t>
            </w:r>
          </w:p>
        </w:tc>
        <w:tc>
          <w:tcPr>
            <w:tcW w:w="846" w:type="dxa"/>
            <w:tcBorders>
              <w:bottom w:val="single" w:sz="4" w:space="0" w:color="auto"/>
            </w:tcBorders>
          </w:tcPr>
          <w:p w14:paraId="4A7B4493" w14:textId="77777777" w:rsidR="00793ACA" w:rsidRPr="00793ACA" w:rsidRDefault="00793ACA" w:rsidP="0018404D">
            <w:pPr>
              <w:jc w:val="center"/>
              <w:rPr>
                <w:rFonts w:ascii="Times New Roman" w:hAnsi="Times New Roman"/>
                <w:sz w:val="20"/>
                <w:szCs w:val="20"/>
                <w:lang w:val="en-GB"/>
              </w:rPr>
            </w:pPr>
            <w:r w:rsidRPr="00793ACA">
              <w:rPr>
                <w:rFonts w:ascii="Times New Roman" w:hAnsi="Times New Roman"/>
                <w:sz w:val="20"/>
                <w:szCs w:val="20"/>
                <w:lang w:val="en-GB"/>
              </w:rPr>
              <w:t>Day 11</w:t>
            </w:r>
          </w:p>
          <w:p w14:paraId="7602A9D8"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en-GB"/>
              </w:rPr>
              <w:t>(± 2 days)</w:t>
            </w:r>
          </w:p>
        </w:tc>
        <w:tc>
          <w:tcPr>
            <w:tcW w:w="827" w:type="dxa"/>
            <w:tcBorders>
              <w:bottom w:val="single" w:sz="4" w:space="0" w:color="auto"/>
            </w:tcBorders>
          </w:tcPr>
          <w:p w14:paraId="5F3AB9A1"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Day 18</w:t>
            </w:r>
          </w:p>
          <w:p w14:paraId="6AF0408F"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 2 days)</w:t>
            </w:r>
          </w:p>
        </w:tc>
        <w:tc>
          <w:tcPr>
            <w:tcW w:w="733" w:type="dxa"/>
            <w:tcBorders>
              <w:bottom w:val="single" w:sz="4" w:space="0" w:color="auto"/>
            </w:tcBorders>
          </w:tcPr>
          <w:p w14:paraId="1DE99D72"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 xml:space="preserve">Day 22 </w:t>
            </w:r>
          </w:p>
          <w:p w14:paraId="2649DCAE"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(±2 days)</w:t>
            </w:r>
          </w:p>
        </w:tc>
        <w:tc>
          <w:tcPr>
            <w:tcW w:w="761" w:type="dxa"/>
            <w:tcBorders>
              <w:bottom w:val="single" w:sz="4" w:space="0" w:color="auto"/>
            </w:tcBorders>
          </w:tcPr>
          <w:p w14:paraId="7AA3D6E0"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Day 28</w:t>
            </w:r>
          </w:p>
          <w:p w14:paraId="7A773D24"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(±2 days)</w:t>
            </w:r>
          </w:p>
        </w:tc>
        <w:tc>
          <w:tcPr>
            <w:tcW w:w="715" w:type="dxa"/>
            <w:tcBorders>
              <w:bottom w:val="single" w:sz="4" w:space="0" w:color="auto"/>
            </w:tcBorders>
          </w:tcPr>
          <w:p w14:paraId="4B719254"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Day 33</w:t>
            </w:r>
          </w:p>
          <w:p w14:paraId="5F076AEB"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(±2 days)</w:t>
            </w:r>
          </w:p>
        </w:tc>
        <w:tc>
          <w:tcPr>
            <w:tcW w:w="715" w:type="dxa"/>
            <w:tcBorders>
              <w:bottom w:val="single" w:sz="4" w:space="0" w:color="auto"/>
            </w:tcBorders>
          </w:tcPr>
          <w:p w14:paraId="3A9DA15F"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 xml:space="preserve">Day </w:t>
            </w:r>
          </w:p>
          <w:p w14:paraId="4C4497D9"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40</w:t>
            </w:r>
          </w:p>
          <w:p w14:paraId="7E822D9B"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 5 days)</w:t>
            </w:r>
          </w:p>
        </w:tc>
        <w:tc>
          <w:tcPr>
            <w:tcW w:w="715" w:type="dxa"/>
            <w:tcBorders>
              <w:bottom w:val="single" w:sz="4" w:space="0" w:color="auto"/>
            </w:tcBorders>
          </w:tcPr>
          <w:p w14:paraId="631C81FA" w14:textId="77777777" w:rsidR="00793ACA" w:rsidRPr="00793ACA" w:rsidRDefault="00793ACA" w:rsidP="0018404D">
            <w:pPr>
              <w:jc w:val="center"/>
              <w:rPr>
                <w:rFonts w:ascii="Times New Roman" w:hAnsi="Times New Roman"/>
                <w:sz w:val="20"/>
                <w:szCs w:val="20"/>
                <w:lang w:val="nl-NL"/>
              </w:rPr>
            </w:pPr>
            <w:r w:rsidRPr="00793ACA">
              <w:rPr>
                <w:rFonts w:ascii="Times New Roman" w:hAnsi="Times New Roman"/>
                <w:sz w:val="20"/>
                <w:szCs w:val="20"/>
                <w:lang w:val="nl-NL"/>
              </w:rPr>
              <w:t>Day 50</w:t>
            </w:r>
          </w:p>
        </w:tc>
      </w:tr>
      <w:tr w:rsidR="00793ACA" w:rsidRPr="00793ACA" w14:paraId="038C94ED" w14:textId="77777777" w:rsidTr="0018404D">
        <w:trPr>
          <w:cantSplit/>
          <w:trHeight w:val="188"/>
        </w:trPr>
        <w:tc>
          <w:tcPr>
            <w:tcW w:w="1975" w:type="dxa"/>
          </w:tcPr>
          <w:p w14:paraId="118F2B30"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Informed consent</w:t>
            </w:r>
          </w:p>
        </w:tc>
        <w:tc>
          <w:tcPr>
            <w:tcW w:w="1350" w:type="dxa"/>
          </w:tcPr>
          <w:p w14:paraId="3C788F9A"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7829E580" w14:textId="77777777" w:rsidR="00793ACA" w:rsidRPr="00793ACA" w:rsidRDefault="00793ACA" w:rsidP="0018404D">
            <w:pPr>
              <w:jc w:val="center"/>
              <w:rPr>
                <w:rFonts w:ascii="Times New Roman" w:hAnsi="Times New Roman"/>
                <w:sz w:val="20"/>
                <w:szCs w:val="20"/>
              </w:rPr>
            </w:pPr>
          </w:p>
        </w:tc>
        <w:tc>
          <w:tcPr>
            <w:tcW w:w="846" w:type="dxa"/>
          </w:tcPr>
          <w:p w14:paraId="7A56688A" w14:textId="77777777" w:rsidR="00793ACA" w:rsidRPr="00793ACA" w:rsidRDefault="00793ACA" w:rsidP="0018404D">
            <w:pPr>
              <w:jc w:val="center"/>
              <w:rPr>
                <w:rFonts w:ascii="Times New Roman" w:hAnsi="Times New Roman"/>
                <w:sz w:val="20"/>
                <w:szCs w:val="20"/>
              </w:rPr>
            </w:pPr>
          </w:p>
        </w:tc>
        <w:tc>
          <w:tcPr>
            <w:tcW w:w="827" w:type="dxa"/>
          </w:tcPr>
          <w:p w14:paraId="5FF57EE0" w14:textId="77777777" w:rsidR="00793ACA" w:rsidRPr="00793ACA" w:rsidRDefault="00793ACA" w:rsidP="0018404D">
            <w:pPr>
              <w:jc w:val="center"/>
              <w:rPr>
                <w:rFonts w:ascii="Times New Roman" w:hAnsi="Times New Roman"/>
                <w:sz w:val="20"/>
                <w:szCs w:val="20"/>
              </w:rPr>
            </w:pPr>
          </w:p>
        </w:tc>
        <w:tc>
          <w:tcPr>
            <w:tcW w:w="733" w:type="dxa"/>
          </w:tcPr>
          <w:p w14:paraId="6811443E" w14:textId="77777777" w:rsidR="00793ACA" w:rsidRPr="00793ACA" w:rsidRDefault="00793ACA" w:rsidP="0018404D">
            <w:pPr>
              <w:jc w:val="center"/>
              <w:rPr>
                <w:rFonts w:ascii="Times New Roman" w:hAnsi="Times New Roman"/>
                <w:sz w:val="20"/>
                <w:szCs w:val="20"/>
              </w:rPr>
            </w:pPr>
          </w:p>
        </w:tc>
        <w:tc>
          <w:tcPr>
            <w:tcW w:w="761" w:type="dxa"/>
          </w:tcPr>
          <w:p w14:paraId="7973FBCD" w14:textId="77777777" w:rsidR="00793ACA" w:rsidRPr="00793ACA" w:rsidRDefault="00793ACA" w:rsidP="0018404D">
            <w:pPr>
              <w:jc w:val="center"/>
              <w:rPr>
                <w:rFonts w:ascii="Times New Roman" w:hAnsi="Times New Roman"/>
                <w:sz w:val="20"/>
                <w:szCs w:val="20"/>
              </w:rPr>
            </w:pPr>
          </w:p>
        </w:tc>
        <w:tc>
          <w:tcPr>
            <w:tcW w:w="715" w:type="dxa"/>
          </w:tcPr>
          <w:p w14:paraId="718FDC48" w14:textId="77777777" w:rsidR="00793ACA" w:rsidRPr="00793ACA" w:rsidRDefault="00793ACA" w:rsidP="0018404D">
            <w:pPr>
              <w:jc w:val="center"/>
              <w:rPr>
                <w:rFonts w:ascii="Times New Roman" w:hAnsi="Times New Roman"/>
                <w:sz w:val="20"/>
                <w:szCs w:val="20"/>
              </w:rPr>
            </w:pPr>
          </w:p>
        </w:tc>
        <w:tc>
          <w:tcPr>
            <w:tcW w:w="715" w:type="dxa"/>
          </w:tcPr>
          <w:p w14:paraId="3702BD41" w14:textId="77777777" w:rsidR="00793ACA" w:rsidRPr="00793ACA" w:rsidRDefault="00793ACA" w:rsidP="0018404D">
            <w:pPr>
              <w:jc w:val="center"/>
              <w:rPr>
                <w:rFonts w:ascii="Times New Roman" w:hAnsi="Times New Roman"/>
                <w:sz w:val="20"/>
                <w:szCs w:val="20"/>
              </w:rPr>
            </w:pPr>
          </w:p>
        </w:tc>
        <w:tc>
          <w:tcPr>
            <w:tcW w:w="715" w:type="dxa"/>
          </w:tcPr>
          <w:p w14:paraId="7F232D44" w14:textId="77777777" w:rsidR="00793ACA" w:rsidRPr="00793ACA" w:rsidRDefault="00793ACA" w:rsidP="0018404D">
            <w:pPr>
              <w:jc w:val="center"/>
              <w:rPr>
                <w:rFonts w:ascii="Times New Roman" w:hAnsi="Times New Roman"/>
                <w:sz w:val="20"/>
                <w:szCs w:val="20"/>
              </w:rPr>
            </w:pPr>
          </w:p>
        </w:tc>
      </w:tr>
      <w:tr w:rsidR="00793ACA" w:rsidRPr="00793ACA" w14:paraId="20A5EDBD" w14:textId="77777777" w:rsidTr="0018404D">
        <w:trPr>
          <w:cantSplit/>
          <w:trHeight w:val="188"/>
        </w:trPr>
        <w:tc>
          <w:tcPr>
            <w:tcW w:w="1975" w:type="dxa"/>
          </w:tcPr>
          <w:p w14:paraId="4339E818"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Inclusion/Exclusion criteria</w:t>
            </w:r>
          </w:p>
        </w:tc>
        <w:tc>
          <w:tcPr>
            <w:tcW w:w="1350" w:type="dxa"/>
          </w:tcPr>
          <w:p w14:paraId="1F89A9B4"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7F400EB7" w14:textId="77777777" w:rsidR="00793ACA" w:rsidRPr="00793ACA" w:rsidRDefault="00793ACA" w:rsidP="0018404D">
            <w:pPr>
              <w:jc w:val="center"/>
              <w:rPr>
                <w:rFonts w:ascii="Times New Roman" w:hAnsi="Times New Roman"/>
                <w:sz w:val="20"/>
                <w:szCs w:val="20"/>
              </w:rPr>
            </w:pPr>
          </w:p>
        </w:tc>
        <w:tc>
          <w:tcPr>
            <w:tcW w:w="846" w:type="dxa"/>
          </w:tcPr>
          <w:p w14:paraId="578188C0" w14:textId="77777777" w:rsidR="00793ACA" w:rsidRPr="00793ACA" w:rsidRDefault="00793ACA" w:rsidP="0018404D">
            <w:pPr>
              <w:jc w:val="center"/>
              <w:rPr>
                <w:rFonts w:ascii="Times New Roman" w:hAnsi="Times New Roman"/>
                <w:sz w:val="20"/>
                <w:szCs w:val="20"/>
              </w:rPr>
            </w:pPr>
          </w:p>
        </w:tc>
        <w:tc>
          <w:tcPr>
            <w:tcW w:w="827" w:type="dxa"/>
          </w:tcPr>
          <w:p w14:paraId="1F681AC6" w14:textId="77777777" w:rsidR="00793ACA" w:rsidRPr="00793ACA" w:rsidRDefault="00793ACA" w:rsidP="0018404D">
            <w:pPr>
              <w:rPr>
                <w:rFonts w:ascii="Times New Roman" w:hAnsi="Times New Roman"/>
                <w:sz w:val="20"/>
                <w:szCs w:val="20"/>
              </w:rPr>
            </w:pPr>
          </w:p>
        </w:tc>
        <w:tc>
          <w:tcPr>
            <w:tcW w:w="733" w:type="dxa"/>
          </w:tcPr>
          <w:p w14:paraId="77D7DC6B" w14:textId="77777777" w:rsidR="00793ACA" w:rsidRPr="00793ACA" w:rsidRDefault="00793ACA" w:rsidP="0018404D">
            <w:pPr>
              <w:rPr>
                <w:rFonts w:ascii="Times New Roman" w:hAnsi="Times New Roman"/>
                <w:sz w:val="20"/>
                <w:szCs w:val="20"/>
              </w:rPr>
            </w:pPr>
          </w:p>
        </w:tc>
        <w:tc>
          <w:tcPr>
            <w:tcW w:w="761" w:type="dxa"/>
          </w:tcPr>
          <w:p w14:paraId="2F2FE172" w14:textId="77777777" w:rsidR="00793ACA" w:rsidRPr="00793ACA" w:rsidRDefault="00793ACA" w:rsidP="0018404D">
            <w:pPr>
              <w:rPr>
                <w:rFonts w:ascii="Times New Roman" w:hAnsi="Times New Roman"/>
                <w:sz w:val="20"/>
                <w:szCs w:val="20"/>
              </w:rPr>
            </w:pPr>
          </w:p>
        </w:tc>
        <w:tc>
          <w:tcPr>
            <w:tcW w:w="715" w:type="dxa"/>
          </w:tcPr>
          <w:p w14:paraId="5AE88D88" w14:textId="77777777" w:rsidR="00793ACA" w:rsidRPr="00793ACA" w:rsidRDefault="00793ACA" w:rsidP="0018404D">
            <w:pPr>
              <w:rPr>
                <w:rFonts w:ascii="Times New Roman" w:hAnsi="Times New Roman"/>
                <w:sz w:val="20"/>
                <w:szCs w:val="20"/>
              </w:rPr>
            </w:pPr>
          </w:p>
        </w:tc>
        <w:tc>
          <w:tcPr>
            <w:tcW w:w="715" w:type="dxa"/>
          </w:tcPr>
          <w:p w14:paraId="268A8050" w14:textId="77777777" w:rsidR="00793ACA" w:rsidRPr="00793ACA" w:rsidRDefault="00793ACA" w:rsidP="0018404D">
            <w:pPr>
              <w:rPr>
                <w:rFonts w:ascii="Times New Roman" w:hAnsi="Times New Roman"/>
                <w:sz w:val="20"/>
                <w:szCs w:val="20"/>
              </w:rPr>
            </w:pPr>
          </w:p>
        </w:tc>
        <w:tc>
          <w:tcPr>
            <w:tcW w:w="715" w:type="dxa"/>
          </w:tcPr>
          <w:p w14:paraId="2A6931BD" w14:textId="77777777" w:rsidR="00793ACA" w:rsidRPr="00793ACA" w:rsidRDefault="00793ACA" w:rsidP="0018404D">
            <w:pPr>
              <w:rPr>
                <w:rFonts w:ascii="Times New Roman" w:hAnsi="Times New Roman"/>
                <w:sz w:val="20"/>
                <w:szCs w:val="20"/>
              </w:rPr>
            </w:pPr>
          </w:p>
        </w:tc>
      </w:tr>
      <w:tr w:rsidR="00793ACA" w:rsidRPr="00793ACA" w14:paraId="672EF0D6" w14:textId="77777777" w:rsidTr="0018404D">
        <w:trPr>
          <w:cantSplit/>
          <w:trHeight w:val="188"/>
        </w:trPr>
        <w:tc>
          <w:tcPr>
            <w:tcW w:w="1975" w:type="dxa"/>
          </w:tcPr>
          <w:p w14:paraId="189E297B"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Physical exam</w:t>
            </w:r>
          </w:p>
        </w:tc>
        <w:tc>
          <w:tcPr>
            <w:tcW w:w="1350" w:type="dxa"/>
          </w:tcPr>
          <w:p w14:paraId="06AA018B"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4309EB44" w14:textId="77777777" w:rsidR="00793ACA" w:rsidRPr="00793ACA" w:rsidRDefault="00793ACA" w:rsidP="0018404D">
            <w:pPr>
              <w:jc w:val="center"/>
              <w:rPr>
                <w:rFonts w:ascii="Times New Roman" w:hAnsi="Times New Roman"/>
                <w:sz w:val="20"/>
                <w:szCs w:val="20"/>
              </w:rPr>
            </w:pPr>
          </w:p>
        </w:tc>
        <w:tc>
          <w:tcPr>
            <w:tcW w:w="846" w:type="dxa"/>
          </w:tcPr>
          <w:p w14:paraId="6E936B43" w14:textId="77777777" w:rsidR="00793ACA" w:rsidRPr="00793ACA" w:rsidRDefault="00793ACA" w:rsidP="0018404D">
            <w:pPr>
              <w:jc w:val="center"/>
              <w:rPr>
                <w:rFonts w:ascii="Times New Roman" w:hAnsi="Times New Roman"/>
                <w:sz w:val="20"/>
                <w:szCs w:val="20"/>
              </w:rPr>
            </w:pPr>
          </w:p>
        </w:tc>
        <w:tc>
          <w:tcPr>
            <w:tcW w:w="827" w:type="dxa"/>
          </w:tcPr>
          <w:p w14:paraId="2886E832" w14:textId="77777777" w:rsidR="00793ACA" w:rsidRPr="00793ACA" w:rsidRDefault="00793ACA" w:rsidP="0018404D">
            <w:pPr>
              <w:jc w:val="center"/>
              <w:rPr>
                <w:rFonts w:ascii="Times New Roman" w:hAnsi="Times New Roman"/>
                <w:sz w:val="20"/>
                <w:szCs w:val="20"/>
              </w:rPr>
            </w:pPr>
          </w:p>
        </w:tc>
        <w:tc>
          <w:tcPr>
            <w:tcW w:w="733" w:type="dxa"/>
          </w:tcPr>
          <w:p w14:paraId="5A868D92" w14:textId="77777777" w:rsidR="00793ACA" w:rsidRPr="00793ACA" w:rsidRDefault="00793ACA" w:rsidP="0018404D">
            <w:pPr>
              <w:jc w:val="center"/>
              <w:rPr>
                <w:rFonts w:ascii="Times New Roman" w:hAnsi="Times New Roman"/>
                <w:sz w:val="20"/>
                <w:szCs w:val="20"/>
              </w:rPr>
            </w:pPr>
          </w:p>
        </w:tc>
        <w:tc>
          <w:tcPr>
            <w:tcW w:w="761" w:type="dxa"/>
          </w:tcPr>
          <w:p w14:paraId="76F1F7D9" w14:textId="77777777" w:rsidR="00793ACA" w:rsidRPr="00793ACA" w:rsidRDefault="00793ACA" w:rsidP="0018404D">
            <w:pPr>
              <w:jc w:val="center"/>
              <w:rPr>
                <w:rFonts w:ascii="Times New Roman" w:hAnsi="Times New Roman"/>
                <w:sz w:val="20"/>
                <w:szCs w:val="20"/>
              </w:rPr>
            </w:pPr>
          </w:p>
        </w:tc>
        <w:tc>
          <w:tcPr>
            <w:tcW w:w="715" w:type="dxa"/>
          </w:tcPr>
          <w:p w14:paraId="3BBE298E" w14:textId="77777777" w:rsidR="00793ACA" w:rsidRPr="00793ACA" w:rsidRDefault="00793ACA" w:rsidP="0018404D">
            <w:pPr>
              <w:jc w:val="center"/>
              <w:rPr>
                <w:rFonts w:ascii="Times New Roman" w:hAnsi="Times New Roman"/>
                <w:sz w:val="20"/>
                <w:szCs w:val="20"/>
              </w:rPr>
            </w:pPr>
          </w:p>
        </w:tc>
        <w:tc>
          <w:tcPr>
            <w:tcW w:w="715" w:type="dxa"/>
          </w:tcPr>
          <w:p w14:paraId="094D11D1"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6CB1419C" w14:textId="77777777" w:rsidR="00793ACA" w:rsidRPr="00793ACA" w:rsidRDefault="00793ACA" w:rsidP="0018404D">
            <w:pPr>
              <w:jc w:val="center"/>
              <w:rPr>
                <w:rFonts w:ascii="Times New Roman" w:hAnsi="Times New Roman"/>
                <w:sz w:val="20"/>
                <w:szCs w:val="20"/>
              </w:rPr>
            </w:pPr>
          </w:p>
        </w:tc>
      </w:tr>
      <w:tr w:rsidR="00793ACA" w:rsidRPr="00793ACA" w14:paraId="211CDB6F" w14:textId="77777777" w:rsidTr="0018404D">
        <w:trPr>
          <w:cantSplit/>
          <w:trHeight w:val="188"/>
        </w:trPr>
        <w:tc>
          <w:tcPr>
            <w:tcW w:w="1975" w:type="dxa"/>
          </w:tcPr>
          <w:p w14:paraId="0EDA22A1"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Vital signs/pregnancy test</w:t>
            </w:r>
          </w:p>
        </w:tc>
        <w:tc>
          <w:tcPr>
            <w:tcW w:w="1350" w:type="dxa"/>
          </w:tcPr>
          <w:p w14:paraId="616F28A4"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00771797"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46" w:type="dxa"/>
          </w:tcPr>
          <w:p w14:paraId="73D0A091"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27" w:type="dxa"/>
          </w:tcPr>
          <w:p w14:paraId="25ACDB08"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33" w:type="dxa"/>
          </w:tcPr>
          <w:p w14:paraId="735B86C3"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61" w:type="dxa"/>
          </w:tcPr>
          <w:p w14:paraId="194DE446"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5C3B079A" w14:textId="77777777" w:rsidR="00793ACA" w:rsidRPr="00793ACA" w:rsidRDefault="00793ACA" w:rsidP="0018404D">
            <w:pPr>
              <w:jc w:val="center"/>
              <w:rPr>
                <w:rFonts w:ascii="Times New Roman" w:hAnsi="Times New Roman"/>
                <w:sz w:val="20"/>
                <w:szCs w:val="20"/>
              </w:rPr>
            </w:pPr>
          </w:p>
        </w:tc>
        <w:tc>
          <w:tcPr>
            <w:tcW w:w="715" w:type="dxa"/>
          </w:tcPr>
          <w:p w14:paraId="5F9F854C"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05C99319" w14:textId="77777777" w:rsidR="00793ACA" w:rsidRPr="00793ACA" w:rsidRDefault="00793ACA" w:rsidP="0018404D">
            <w:pPr>
              <w:jc w:val="center"/>
              <w:rPr>
                <w:rFonts w:ascii="Times New Roman" w:hAnsi="Times New Roman"/>
                <w:sz w:val="20"/>
                <w:szCs w:val="20"/>
              </w:rPr>
            </w:pPr>
          </w:p>
        </w:tc>
      </w:tr>
      <w:tr w:rsidR="00793ACA" w:rsidRPr="00793ACA" w14:paraId="2100CE6B" w14:textId="77777777" w:rsidTr="0018404D">
        <w:trPr>
          <w:cantSplit/>
          <w:trHeight w:val="188"/>
        </w:trPr>
        <w:tc>
          <w:tcPr>
            <w:tcW w:w="1975" w:type="dxa"/>
          </w:tcPr>
          <w:p w14:paraId="6B1AF163"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PK blood draw</w:t>
            </w:r>
          </w:p>
        </w:tc>
        <w:tc>
          <w:tcPr>
            <w:tcW w:w="1350" w:type="dxa"/>
          </w:tcPr>
          <w:p w14:paraId="03AB486C" w14:textId="77777777" w:rsidR="00793ACA" w:rsidRPr="00793ACA" w:rsidRDefault="00793ACA" w:rsidP="0018404D">
            <w:pPr>
              <w:jc w:val="center"/>
              <w:rPr>
                <w:rFonts w:ascii="Times New Roman" w:hAnsi="Times New Roman"/>
                <w:sz w:val="20"/>
                <w:szCs w:val="20"/>
              </w:rPr>
            </w:pPr>
          </w:p>
        </w:tc>
        <w:tc>
          <w:tcPr>
            <w:tcW w:w="1433" w:type="dxa"/>
          </w:tcPr>
          <w:p w14:paraId="5D06089C" w14:textId="77777777" w:rsidR="00793ACA" w:rsidRPr="00793ACA" w:rsidRDefault="00793ACA" w:rsidP="0018404D">
            <w:pPr>
              <w:jc w:val="center"/>
              <w:rPr>
                <w:rFonts w:ascii="Times New Roman" w:hAnsi="Times New Roman"/>
                <w:sz w:val="20"/>
                <w:szCs w:val="20"/>
              </w:rPr>
            </w:pPr>
          </w:p>
        </w:tc>
        <w:tc>
          <w:tcPr>
            <w:tcW w:w="846" w:type="dxa"/>
          </w:tcPr>
          <w:p w14:paraId="4B853D69"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27" w:type="dxa"/>
          </w:tcPr>
          <w:p w14:paraId="5191BED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33" w:type="dxa"/>
          </w:tcPr>
          <w:p w14:paraId="5F52DB7A"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61" w:type="dxa"/>
          </w:tcPr>
          <w:p w14:paraId="08BAB8F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7E56361D" w14:textId="77777777" w:rsidR="00793ACA" w:rsidRPr="00793ACA" w:rsidRDefault="00793ACA" w:rsidP="0018404D">
            <w:pPr>
              <w:jc w:val="center"/>
              <w:rPr>
                <w:rFonts w:ascii="Times New Roman" w:hAnsi="Times New Roman"/>
                <w:sz w:val="20"/>
                <w:szCs w:val="20"/>
              </w:rPr>
            </w:pPr>
          </w:p>
        </w:tc>
        <w:tc>
          <w:tcPr>
            <w:tcW w:w="715" w:type="dxa"/>
          </w:tcPr>
          <w:p w14:paraId="4C66EFB2"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24064E91"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r>
      <w:tr w:rsidR="00793ACA" w:rsidRPr="00793ACA" w14:paraId="3844EABF" w14:textId="77777777" w:rsidTr="0018404D">
        <w:trPr>
          <w:cantSplit/>
          <w:trHeight w:val="188"/>
        </w:trPr>
        <w:tc>
          <w:tcPr>
            <w:tcW w:w="1975" w:type="dxa"/>
          </w:tcPr>
          <w:p w14:paraId="36FBAC1F"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CBC/CMP for safety</w:t>
            </w:r>
          </w:p>
        </w:tc>
        <w:tc>
          <w:tcPr>
            <w:tcW w:w="1350" w:type="dxa"/>
          </w:tcPr>
          <w:p w14:paraId="70070583"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586B7424" w14:textId="77777777" w:rsidR="00793ACA" w:rsidRPr="00793ACA" w:rsidRDefault="00793ACA" w:rsidP="0018404D">
            <w:pPr>
              <w:jc w:val="center"/>
              <w:rPr>
                <w:rFonts w:ascii="Times New Roman" w:hAnsi="Times New Roman"/>
                <w:sz w:val="20"/>
                <w:szCs w:val="20"/>
              </w:rPr>
            </w:pPr>
          </w:p>
        </w:tc>
        <w:tc>
          <w:tcPr>
            <w:tcW w:w="846" w:type="dxa"/>
          </w:tcPr>
          <w:p w14:paraId="2D53652B"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27" w:type="dxa"/>
          </w:tcPr>
          <w:p w14:paraId="735CDF29" w14:textId="77777777" w:rsidR="00793ACA" w:rsidRPr="00793ACA" w:rsidRDefault="00793ACA" w:rsidP="0018404D">
            <w:pPr>
              <w:jc w:val="center"/>
              <w:rPr>
                <w:rFonts w:ascii="Times New Roman" w:hAnsi="Times New Roman"/>
                <w:sz w:val="20"/>
                <w:szCs w:val="20"/>
              </w:rPr>
            </w:pPr>
          </w:p>
        </w:tc>
        <w:tc>
          <w:tcPr>
            <w:tcW w:w="733" w:type="dxa"/>
          </w:tcPr>
          <w:p w14:paraId="4CEA1F1B" w14:textId="77777777" w:rsidR="00793ACA" w:rsidRPr="00793ACA" w:rsidRDefault="00793ACA" w:rsidP="0018404D">
            <w:pPr>
              <w:jc w:val="center"/>
              <w:rPr>
                <w:rFonts w:ascii="Times New Roman" w:hAnsi="Times New Roman"/>
                <w:sz w:val="20"/>
                <w:szCs w:val="20"/>
              </w:rPr>
            </w:pPr>
          </w:p>
        </w:tc>
        <w:tc>
          <w:tcPr>
            <w:tcW w:w="761" w:type="dxa"/>
          </w:tcPr>
          <w:p w14:paraId="4CB82859" w14:textId="77777777" w:rsidR="00793ACA" w:rsidRPr="00793ACA" w:rsidRDefault="00793ACA" w:rsidP="0018404D">
            <w:pPr>
              <w:jc w:val="center"/>
              <w:rPr>
                <w:rFonts w:ascii="Times New Roman" w:hAnsi="Times New Roman"/>
                <w:sz w:val="20"/>
                <w:szCs w:val="20"/>
              </w:rPr>
            </w:pPr>
          </w:p>
        </w:tc>
        <w:tc>
          <w:tcPr>
            <w:tcW w:w="715" w:type="dxa"/>
          </w:tcPr>
          <w:p w14:paraId="4FF0BA7E" w14:textId="77777777" w:rsidR="00793ACA" w:rsidRPr="00793ACA" w:rsidRDefault="00793ACA" w:rsidP="0018404D">
            <w:pPr>
              <w:jc w:val="center"/>
              <w:rPr>
                <w:rFonts w:ascii="Times New Roman" w:hAnsi="Times New Roman"/>
                <w:sz w:val="20"/>
                <w:szCs w:val="20"/>
              </w:rPr>
            </w:pPr>
          </w:p>
        </w:tc>
        <w:tc>
          <w:tcPr>
            <w:tcW w:w="715" w:type="dxa"/>
          </w:tcPr>
          <w:p w14:paraId="612F5DA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71287607" w14:textId="77777777" w:rsidR="00793ACA" w:rsidRPr="00793ACA" w:rsidRDefault="00793ACA" w:rsidP="0018404D">
            <w:pPr>
              <w:jc w:val="center"/>
              <w:rPr>
                <w:rFonts w:ascii="Times New Roman" w:hAnsi="Times New Roman"/>
                <w:sz w:val="20"/>
                <w:szCs w:val="20"/>
              </w:rPr>
            </w:pPr>
          </w:p>
        </w:tc>
      </w:tr>
      <w:tr w:rsidR="00793ACA" w:rsidRPr="00793ACA" w14:paraId="329899DF" w14:textId="77777777" w:rsidTr="0018404D">
        <w:trPr>
          <w:cantSplit/>
          <w:trHeight w:val="188"/>
        </w:trPr>
        <w:tc>
          <w:tcPr>
            <w:tcW w:w="1975" w:type="dxa"/>
          </w:tcPr>
          <w:p w14:paraId="46EE7322" w14:textId="77777777" w:rsidR="00793ACA" w:rsidRPr="00793ACA" w:rsidRDefault="00793ACA" w:rsidP="0018404D">
            <w:pPr>
              <w:rPr>
                <w:rFonts w:ascii="Times New Roman" w:hAnsi="Times New Roman"/>
                <w:sz w:val="20"/>
                <w:szCs w:val="20"/>
                <w:lang w:val="fi-FI"/>
              </w:rPr>
            </w:pPr>
            <w:r w:rsidRPr="00793ACA">
              <w:rPr>
                <w:rFonts w:ascii="Times New Roman" w:hAnsi="Times New Roman"/>
                <w:sz w:val="20"/>
                <w:szCs w:val="20"/>
                <w:lang w:val="fi-FI"/>
              </w:rPr>
              <w:t>Dispense teriflunomide</w:t>
            </w:r>
          </w:p>
        </w:tc>
        <w:tc>
          <w:tcPr>
            <w:tcW w:w="1350" w:type="dxa"/>
          </w:tcPr>
          <w:p w14:paraId="44C3BFB6" w14:textId="77777777" w:rsidR="00793ACA" w:rsidRPr="00793ACA" w:rsidRDefault="00793ACA" w:rsidP="0018404D">
            <w:pPr>
              <w:jc w:val="center"/>
              <w:rPr>
                <w:rFonts w:ascii="Times New Roman" w:hAnsi="Times New Roman"/>
                <w:sz w:val="20"/>
                <w:szCs w:val="20"/>
                <w:lang w:val="fi-FI"/>
              </w:rPr>
            </w:pPr>
          </w:p>
        </w:tc>
        <w:tc>
          <w:tcPr>
            <w:tcW w:w="1433" w:type="dxa"/>
          </w:tcPr>
          <w:p w14:paraId="249E7339" w14:textId="77777777" w:rsidR="00793ACA" w:rsidRPr="00793ACA" w:rsidRDefault="00793ACA" w:rsidP="0018404D">
            <w:pPr>
              <w:jc w:val="center"/>
              <w:rPr>
                <w:rFonts w:ascii="Times New Roman" w:hAnsi="Times New Roman"/>
                <w:sz w:val="20"/>
                <w:szCs w:val="20"/>
                <w:lang w:val="fi-FI"/>
              </w:rPr>
            </w:pPr>
            <w:r w:rsidRPr="00793ACA">
              <w:rPr>
                <w:rFonts w:ascii="Times New Roman" w:hAnsi="Times New Roman"/>
                <w:sz w:val="20"/>
                <w:szCs w:val="20"/>
                <w:lang w:val="fi-FI"/>
              </w:rPr>
              <w:t>X</w:t>
            </w:r>
          </w:p>
        </w:tc>
        <w:tc>
          <w:tcPr>
            <w:tcW w:w="846" w:type="dxa"/>
          </w:tcPr>
          <w:p w14:paraId="6DB71DD5" w14:textId="77777777" w:rsidR="00793ACA" w:rsidRPr="00793ACA" w:rsidRDefault="00793ACA" w:rsidP="0018404D">
            <w:pPr>
              <w:jc w:val="center"/>
              <w:rPr>
                <w:rFonts w:ascii="Times New Roman" w:hAnsi="Times New Roman"/>
                <w:sz w:val="20"/>
                <w:szCs w:val="20"/>
                <w:lang w:val="fi-FI"/>
              </w:rPr>
            </w:pPr>
          </w:p>
        </w:tc>
        <w:tc>
          <w:tcPr>
            <w:tcW w:w="827" w:type="dxa"/>
          </w:tcPr>
          <w:p w14:paraId="25006333" w14:textId="77777777" w:rsidR="00793ACA" w:rsidRPr="00793ACA" w:rsidRDefault="00793ACA" w:rsidP="0018404D">
            <w:pPr>
              <w:jc w:val="center"/>
              <w:rPr>
                <w:rFonts w:ascii="Times New Roman" w:hAnsi="Times New Roman"/>
                <w:sz w:val="20"/>
                <w:szCs w:val="20"/>
                <w:lang w:val="fi-FI"/>
              </w:rPr>
            </w:pPr>
          </w:p>
        </w:tc>
        <w:tc>
          <w:tcPr>
            <w:tcW w:w="733" w:type="dxa"/>
          </w:tcPr>
          <w:p w14:paraId="1AEA67E2" w14:textId="77777777" w:rsidR="00793ACA" w:rsidRPr="00793ACA" w:rsidRDefault="00793ACA" w:rsidP="0018404D">
            <w:pPr>
              <w:jc w:val="center"/>
              <w:rPr>
                <w:rFonts w:ascii="Times New Roman" w:hAnsi="Times New Roman"/>
                <w:sz w:val="20"/>
                <w:szCs w:val="20"/>
                <w:lang w:val="fi-FI"/>
              </w:rPr>
            </w:pPr>
          </w:p>
        </w:tc>
        <w:tc>
          <w:tcPr>
            <w:tcW w:w="761" w:type="dxa"/>
          </w:tcPr>
          <w:p w14:paraId="2DA0001A" w14:textId="77777777" w:rsidR="00793ACA" w:rsidRPr="00793ACA" w:rsidRDefault="00793ACA" w:rsidP="0018404D">
            <w:pPr>
              <w:jc w:val="center"/>
              <w:rPr>
                <w:rFonts w:ascii="Times New Roman" w:hAnsi="Times New Roman"/>
                <w:sz w:val="20"/>
                <w:szCs w:val="20"/>
                <w:lang w:val="fi-FI"/>
              </w:rPr>
            </w:pPr>
          </w:p>
        </w:tc>
        <w:tc>
          <w:tcPr>
            <w:tcW w:w="715" w:type="dxa"/>
          </w:tcPr>
          <w:p w14:paraId="6E30A55B" w14:textId="77777777" w:rsidR="00793ACA" w:rsidRPr="00793ACA" w:rsidRDefault="00793ACA" w:rsidP="0018404D">
            <w:pPr>
              <w:jc w:val="center"/>
              <w:rPr>
                <w:rFonts w:ascii="Times New Roman" w:hAnsi="Times New Roman"/>
                <w:sz w:val="20"/>
                <w:szCs w:val="20"/>
                <w:lang w:val="fi-FI"/>
              </w:rPr>
            </w:pPr>
          </w:p>
        </w:tc>
        <w:tc>
          <w:tcPr>
            <w:tcW w:w="715" w:type="dxa"/>
          </w:tcPr>
          <w:p w14:paraId="5B4491F0" w14:textId="77777777" w:rsidR="00793ACA" w:rsidRPr="00793ACA" w:rsidRDefault="00793ACA" w:rsidP="0018404D">
            <w:pPr>
              <w:jc w:val="center"/>
              <w:rPr>
                <w:rFonts w:ascii="Times New Roman" w:hAnsi="Times New Roman"/>
                <w:sz w:val="20"/>
                <w:szCs w:val="20"/>
                <w:lang w:val="fi-FI"/>
              </w:rPr>
            </w:pPr>
          </w:p>
        </w:tc>
        <w:tc>
          <w:tcPr>
            <w:tcW w:w="715" w:type="dxa"/>
          </w:tcPr>
          <w:p w14:paraId="709F8405" w14:textId="77777777" w:rsidR="00793ACA" w:rsidRPr="00793ACA" w:rsidRDefault="00793ACA" w:rsidP="0018404D">
            <w:pPr>
              <w:jc w:val="center"/>
              <w:rPr>
                <w:rFonts w:ascii="Times New Roman" w:hAnsi="Times New Roman"/>
                <w:sz w:val="20"/>
                <w:szCs w:val="20"/>
                <w:lang w:val="fi-FI"/>
              </w:rPr>
            </w:pPr>
          </w:p>
        </w:tc>
      </w:tr>
      <w:tr w:rsidR="00793ACA" w:rsidRPr="00793ACA" w14:paraId="7AC6CD8F" w14:textId="77777777" w:rsidTr="0018404D">
        <w:trPr>
          <w:cantSplit/>
          <w:trHeight w:val="188"/>
        </w:trPr>
        <w:tc>
          <w:tcPr>
            <w:tcW w:w="1975" w:type="dxa"/>
          </w:tcPr>
          <w:p w14:paraId="2353C2C6"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 xml:space="preserve">Dispense </w:t>
            </w:r>
            <w:r w:rsidRPr="00793ACA">
              <w:rPr>
                <w:rFonts w:ascii="Times New Roman" w:hAnsi="Times New Roman"/>
                <w:sz w:val="20"/>
                <w:szCs w:val="20"/>
              </w:rPr>
              <w:t>colestipol hydrochloride</w:t>
            </w:r>
          </w:p>
        </w:tc>
        <w:tc>
          <w:tcPr>
            <w:tcW w:w="1350" w:type="dxa"/>
          </w:tcPr>
          <w:p w14:paraId="5F63F9B3" w14:textId="77777777" w:rsidR="00793ACA" w:rsidRPr="00793ACA" w:rsidRDefault="00793ACA" w:rsidP="0018404D">
            <w:pPr>
              <w:jc w:val="center"/>
              <w:rPr>
                <w:rFonts w:ascii="Times New Roman" w:hAnsi="Times New Roman"/>
                <w:sz w:val="20"/>
                <w:szCs w:val="20"/>
              </w:rPr>
            </w:pPr>
          </w:p>
        </w:tc>
        <w:tc>
          <w:tcPr>
            <w:tcW w:w="1433" w:type="dxa"/>
          </w:tcPr>
          <w:p w14:paraId="196F24B7" w14:textId="77777777" w:rsidR="00793ACA" w:rsidRPr="00793ACA" w:rsidRDefault="00793ACA" w:rsidP="0018404D">
            <w:pPr>
              <w:jc w:val="center"/>
              <w:rPr>
                <w:rFonts w:ascii="Times New Roman" w:hAnsi="Times New Roman"/>
                <w:sz w:val="20"/>
                <w:szCs w:val="20"/>
              </w:rPr>
            </w:pPr>
          </w:p>
        </w:tc>
        <w:tc>
          <w:tcPr>
            <w:tcW w:w="846" w:type="dxa"/>
          </w:tcPr>
          <w:p w14:paraId="57E04E68" w14:textId="77777777" w:rsidR="00793ACA" w:rsidRPr="00793ACA" w:rsidRDefault="00793ACA" w:rsidP="0018404D">
            <w:pPr>
              <w:jc w:val="center"/>
              <w:rPr>
                <w:rFonts w:ascii="Times New Roman" w:hAnsi="Times New Roman"/>
                <w:sz w:val="20"/>
                <w:szCs w:val="20"/>
              </w:rPr>
            </w:pPr>
          </w:p>
        </w:tc>
        <w:tc>
          <w:tcPr>
            <w:tcW w:w="827" w:type="dxa"/>
          </w:tcPr>
          <w:p w14:paraId="532CC206"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33" w:type="dxa"/>
          </w:tcPr>
          <w:p w14:paraId="771C3CA3" w14:textId="77777777" w:rsidR="00793ACA" w:rsidRPr="00793ACA" w:rsidRDefault="00793ACA" w:rsidP="0018404D">
            <w:pPr>
              <w:jc w:val="center"/>
              <w:rPr>
                <w:rFonts w:ascii="Times New Roman" w:hAnsi="Times New Roman"/>
                <w:sz w:val="20"/>
                <w:szCs w:val="20"/>
              </w:rPr>
            </w:pPr>
          </w:p>
        </w:tc>
        <w:tc>
          <w:tcPr>
            <w:tcW w:w="761" w:type="dxa"/>
          </w:tcPr>
          <w:p w14:paraId="114F3EF7" w14:textId="77777777" w:rsidR="00793ACA" w:rsidRPr="00793ACA" w:rsidRDefault="00793ACA" w:rsidP="0018404D">
            <w:pPr>
              <w:jc w:val="center"/>
              <w:rPr>
                <w:rFonts w:ascii="Times New Roman" w:hAnsi="Times New Roman"/>
                <w:sz w:val="20"/>
                <w:szCs w:val="20"/>
              </w:rPr>
            </w:pPr>
          </w:p>
        </w:tc>
        <w:tc>
          <w:tcPr>
            <w:tcW w:w="715" w:type="dxa"/>
          </w:tcPr>
          <w:p w14:paraId="282F460D" w14:textId="77777777" w:rsidR="00793ACA" w:rsidRPr="00793ACA" w:rsidRDefault="00793ACA" w:rsidP="0018404D">
            <w:pPr>
              <w:jc w:val="center"/>
              <w:rPr>
                <w:rFonts w:ascii="Times New Roman" w:hAnsi="Times New Roman"/>
                <w:sz w:val="20"/>
                <w:szCs w:val="20"/>
              </w:rPr>
            </w:pPr>
          </w:p>
        </w:tc>
        <w:tc>
          <w:tcPr>
            <w:tcW w:w="715" w:type="dxa"/>
          </w:tcPr>
          <w:p w14:paraId="389F1CAB" w14:textId="77777777" w:rsidR="00793ACA" w:rsidRPr="00793ACA" w:rsidRDefault="00793ACA" w:rsidP="0018404D">
            <w:pPr>
              <w:jc w:val="center"/>
              <w:rPr>
                <w:rFonts w:ascii="Times New Roman" w:hAnsi="Times New Roman"/>
                <w:sz w:val="20"/>
                <w:szCs w:val="20"/>
              </w:rPr>
            </w:pPr>
          </w:p>
        </w:tc>
        <w:tc>
          <w:tcPr>
            <w:tcW w:w="715" w:type="dxa"/>
          </w:tcPr>
          <w:p w14:paraId="4B1B8B96" w14:textId="77777777" w:rsidR="00793ACA" w:rsidRPr="00793ACA" w:rsidRDefault="00793ACA" w:rsidP="0018404D">
            <w:pPr>
              <w:jc w:val="center"/>
              <w:rPr>
                <w:rFonts w:ascii="Times New Roman" w:hAnsi="Times New Roman"/>
                <w:sz w:val="20"/>
                <w:szCs w:val="20"/>
              </w:rPr>
            </w:pPr>
          </w:p>
        </w:tc>
      </w:tr>
      <w:tr w:rsidR="00793ACA" w:rsidRPr="00793ACA" w14:paraId="1DA34C0E" w14:textId="77777777" w:rsidTr="0018404D">
        <w:trPr>
          <w:cantSplit/>
          <w:trHeight w:val="188"/>
        </w:trPr>
        <w:tc>
          <w:tcPr>
            <w:tcW w:w="1975" w:type="dxa"/>
          </w:tcPr>
          <w:p w14:paraId="37C8DF82" w14:textId="44D47DA2"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Review AEs</w:t>
            </w:r>
            <w:r w:rsidR="0094350A">
              <w:rPr>
                <w:rFonts w:ascii="Times New Roman" w:hAnsi="Times New Roman"/>
                <w:sz w:val="20"/>
                <w:szCs w:val="20"/>
                <w:lang w:val="en-GB"/>
              </w:rPr>
              <w:t>/Medications</w:t>
            </w:r>
          </w:p>
        </w:tc>
        <w:tc>
          <w:tcPr>
            <w:tcW w:w="1350" w:type="dxa"/>
          </w:tcPr>
          <w:p w14:paraId="3033621B" w14:textId="77777777" w:rsidR="00793ACA" w:rsidRPr="00793ACA" w:rsidRDefault="00793ACA" w:rsidP="0018404D">
            <w:pPr>
              <w:jc w:val="center"/>
              <w:rPr>
                <w:rFonts w:ascii="Times New Roman" w:hAnsi="Times New Roman"/>
                <w:sz w:val="20"/>
                <w:szCs w:val="20"/>
              </w:rPr>
            </w:pPr>
          </w:p>
        </w:tc>
        <w:tc>
          <w:tcPr>
            <w:tcW w:w="1433" w:type="dxa"/>
          </w:tcPr>
          <w:p w14:paraId="3E47848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46" w:type="dxa"/>
          </w:tcPr>
          <w:p w14:paraId="58B3AC92"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27" w:type="dxa"/>
          </w:tcPr>
          <w:p w14:paraId="7FF03719"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33" w:type="dxa"/>
          </w:tcPr>
          <w:p w14:paraId="3D7EC706"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61" w:type="dxa"/>
          </w:tcPr>
          <w:p w14:paraId="43A5FE48"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5218E679"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204E9364"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0179183B"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r>
      <w:tr w:rsidR="00793ACA" w:rsidRPr="00793ACA" w14:paraId="33F976E8" w14:textId="77777777" w:rsidTr="0018404D">
        <w:trPr>
          <w:cantSplit/>
          <w:trHeight w:val="188"/>
        </w:trPr>
        <w:tc>
          <w:tcPr>
            <w:tcW w:w="1975" w:type="dxa"/>
          </w:tcPr>
          <w:p w14:paraId="1CA9668B"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Review adherence</w:t>
            </w:r>
          </w:p>
        </w:tc>
        <w:tc>
          <w:tcPr>
            <w:tcW w:w="1350" w:type="dxa"/>
          </w:tcPr>
          <w:p w14:paraId="29CF9CFB"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1433" w:type="dxa"/>
          </w:tcPr>
          <w:p w14:paraId="1CC6070A"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46" w:type="dxa"/>
          </w:tcPr>
          <w:p w14:paraId="7408CF27"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827" w:type="dxa"/>
          </w:tcPr>
          <w:p w14:paraId="10FFFC6D"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33" w:type="dxa"/>
          </w:tcPr>
          <w:p w14:paraId="4783970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61" w:type="dxa"/>
          </w:tcPr>
          <w:p w14:paraId="1E458837"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6C8760F2"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209F223F" w14:textId="77777777" w:rsidR="00793ACA" w:rsidRPr="00793ACA" w:rsidRDefault="00793ACA" w:rsidP="0018404D">
            <w:pPr>
              <w:jc w:val="center"/>
              <w:rPr>
                <w:rFonts w:ascii="Times New Roman" w:hAnsi="Times New Roman"/>
                <w:sz w:val="20"/>
                <w:szCs w:val="20"/>
              </w:rPr>
            </w:pPr>
          </w:p>
        </w:tc>
        <w:tc>
          <w:tcPr>
            <w:tcW w:w="715" w:type="dxa"/>
          </w:tcPr>
          <w:p w14:paraId="13F187F5"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r>
      <w:tr w:rsidR="00793ACA" w:rsidRPr="00793ACA" w14:paraId="04E10829" w14:textId="77777777" w:rsidTr="0018404D">
        <w:trPr>
          <w:cantSplit/>
          <w:trHeight w:val="188"/>
        </w:trPr>
        <w:tc>
          <w:tcPr>
            <w:tcW w:w="1975" w:type="dxa"/>
          </w:tcPr>
          <w:p w14:paraId="04535EE7" w14:textId="77777777" w:rsidR="00793ACA" w:rsidRPr="00793ACA" w:rsidRDefault="00793ACA" w:rsidP="0018404D">
            <w:pPr>
              <w:rPr>
                <w:rFonts w:ascii="Times New Roman" w:hAnsi="Times New Roman"/>
                <w:sz w:val="20"/>
                <w:szCs w:val="20"/>
                <w:lang w:val="en-GB"/>
              </w:rPr>
            </w:pPr>
            <w:r w:rsidRPr="00793ACA">
              <w:rPr>
                <w:rFonts w:ascii="Times New Roman" w:hAnsi="Times New Roman"/>
                <w:sz w:val="20"/>
                <w:szCs w:val="20"/>
                <w:lang w:val="en-GB"/>
              </w:rPr>
              <w:t>Follow-up call</w:t>
            </w:r>
          </w:p>
        </w:tc>
        <w:tc>
          <w:tcPr>
            <w:tcW w:w="1350" w:type="dxa"/>
          </w:tcPr>
          <w:p w14:paraId="0D6C7560" w14:textId="77777777" w:rsidR="00793ACA" w:rsidRPr="00793ACA" w:rsidRDefault="00793ACA" w:rsidP="0018404D">
            <w:pPr>
              <w:jc w:val="center"/>
              <w:rPr>
                <w:rFonts w:ascii="Times New Roman" w:hAnsi="Times New Roman"/>
                <w:sz w:val="20"/>
                <w:szCs w:val="20"/>
              </w:rPr>
            </w:pPr>
          </w:p>
        </w:tc>
        <w:tc>
          <w:tcPr>
            <w:tcW w:w="1433" w:type="dxa"/>
          </w:tcPr>
          <w:p w14:paraId="14DF92DC" w14:textId="77777777" w:rsidR="00793ACA" w:rsidRPr="00793ACA" w:rsidRDefault="00793ACA" w:rsidP="0018404D">
            <w:pPr>
              <w:jc w:val="center"/>
              <w:rPr>
                <w:rFonts w:ascii="Times New Roman" w:hAnsi="Times New Roman"/>
                <w:sz w:val="20"/>
                <w:szCs w:val="20"/>
              </w:rPr>
            </w:pPr>
          </w:p>
        </w:tc>
        <w:tc>
          <w:tcPr>
            <w:tcW w:w="846" w:type="dxa"/>
          </w:tcPr>
          <w:p w14:paraId="6011B120" w14:textId="77777777" w:rsidR="00793ACA" w:rsidRPr="00793ACA" w:rsidRDefault="00793ACA" w:rsidP="0018404D">
            <w:pPr>
              <w:jc w:val="center"/>
              <w:rPr>
                <w:rFonts w:ascii="Times New Roman" w:hAnsi="Times New Roman"/>
                <w:sz w:val="20"/>
                <w:szCs w:val="20"/>
              </w:rPr>
            </w:pPr>
          </w:p>
        </w:tc>
        <w:tc>
          <w:tcPr>
            <w:tcW w:w="827" w:type="dxa"/>
          </w:tcPr>
          <w:p w14:paraId="21C5031A" w14:textId="77777777" w:rsidR="00793ACA" w:rsidRPr="00793ACA" w:rsidRDefault="00793ACA" w:rsidP="0018404D">
            <w:pPr>
              <w:jc w:val="center"/>
              <w:rPr>
                <w:rFonts w:ascii="Times New Roman" w:hAnsi="Times New Roman"/>
                <w:sz w:val="20"/>
                <w:szCs w:val="20"/>
              </w:rPr>
            </w:pPr>
          </w:p>
        </w:tc>
        <w:tc>
          <w:tcPr>
            <w:tcW w:w="733" w:type="dxa"/>
          </w:tcPr>
          <w:p w14:paraId="1E14B432" w14:textId="77777777" w:rsidR="00793ACA" w:rsidRPr="00793ACA" w:rsidRDefault="00793ACA" w:rsidP="0018404D">
            <w:pPr>
              <w:jc w:val="center"/>
              <w:rPr>
                <w:rFonts w:ascii="Times New Roman" w:hAnsi="Times New Roman"/>
                <w:sz w:val="20"/>
                <w:szCs w:val="20"/>
              </w:rPr>
            </w:pPr>
          </w:p>
        </w:tc>
        <w:tc>
          <w:tcPr>
            <w:tcW w:w="761" w:type="dxa"/>
          </w:tcPr>
          <w:p w14:paraId="1B519B0A" w14:textId="77777777" w:rsidR="00793ACA" w:rsidRPr="00793ACA" w:rsidRDefault="00793ACA" w:rsidP="0018404D">
            <w:pPr>
              <w:jc w:val="center"/>
              <w:rPr>
                <w:rFonts w:ascii="Times New Roman" w:hAnsi="Times New Roman"/>
                <w:sz w:val="20"/>
                <w:szCs w:val="20"/>
              </w:rPr>
            </w:pPr>
          </w:p>
        </w:tc>
        <w:tc>
          <w:tcPr>
            <w:tcW w:w="715" w:type="dxa"/>
          </w:tcPr>
          <w:p w14:paraId="24B57CF1" w14:textId="77777777" w:rsidR="00793ACA" w:rsidRPr="00793ACA" w:rsidRDefault="00793ACA" w:rsidP="0018404D">
            <w:pPr>
              <w:jc w:val="center"/>
              <w:rPr>
                <w:rFonts w:ascii="Times New Roman" w:hAnsi="Times New Roman"/>
                <w:sz w:val="20"/>
                <w:szCs w:val="20"/>
              </w:rPr>
            </w:pPr>
            <w:r w:rsidRPr="00793ACA">
              <w:rPr>
                <w:rFonts w:ascii="Times New Roman" w:hAnsi="Times New Roman"/>
                <w:sz w:val="20"/>
                <w:szCs w:val="20"/>
              </w:rPr>
              <w:t>X</w:t>
            </w:r>
          </w:p>
        </w:tc>
        <w:tc>
          <w:tcPr>
            <w:tcW w:w="715" w:type="dxa"/>
          </w:tcPr>
          <w:p w14:paraId="6186E6C4" w14:textId="77777777" w:rsidR="00793ACA" w:rsidRPr="00793ACA" w:rsidRDefault="00793ACA" w:rsidP="0018404D">
            <w:pPr>
              <w:jc w:val="center"/>
              <w:rPr>
                <w:rFonts w:ascii="Times New Roman" w:hAnsi="Times New Roman"/>
                <w:sz w:val="20"/>
                <w:szCs w:val="20"/>
              </w:rPr>
            </w:pPr>
          </w:p>
        </w:tc>
        <w:tc>
          <w:tcPr>
            <w:tcW w:w="715" w:type="dxa"/>
          </w:tcPr>
          <w:p w14:paraId="0F4FD668" w14:textId="77777777" w:rsidR="00793ACA" w:rsidRPr="00793ACA" w:rsidRDefault="00793ACA" w:rsidP="0018404D">
            <w:pPr>
              <w:jc w:val="center"/>
              <w:rPr>
                <w:rFonts w:ascii="Times New Roman" w:hAnsi="Times New Roman"/>
                <w:sz w:val="20"/>
                <w:szCs w:val="20"/>
              </w:rPr>
            </w:pPr>
          </w:p>
        </w:tc>
      </w:tr>
    </w:tbl>
    <w:p w14:paraId="074DF709" w14:textId="132A0B0D" w:rsidR="00793ACA" w:rsidRPr="00A27DEC" w:rsidRDefault="00793ACA" w:rsidP="00793ACA"/>
    <w:p w14:paraId="550AC99E" w14:textId="77777777" w:rsidR="00793ACA" w:rsidRPr="00A27DEC" w:rsidRDefault="00793ACA" w:rsidP="00793ACA">
      <w:pPr>
        <w:pStyle w:val="NoSpacing"/>
        <w:rPr>
          <w:rFonts w:ascii="Times New Roman" w:hAnsi="Times New Roman" w:cs="Times New Roman"/>
          <w:b/>
          <w:bCs/>
          <w:sz w:val="24"/>
          <w:szCs w:val="24"/>
        </w:rPr>
      </w:pPr>
      <w:r w:rsidRPr="00A27DEC">
        <w:rPr>
          <w:rFonts w:ascii="Times New Roman" w:hAnsi="Times New Roman" w:cs="Times New Roman"/>
          <w:b/>
          <w:bCs/>
          <w:sz w:val="24"/>
          <w:szCs w:val="24"/>
        </w:rPr>
        <w:t>Vital Signs</w:t>
      </w:r>
    </w:p>
    <w:p w14:paraId="1824BC1C" w14:textId="13D79C40" w:rsidR="00793ACA" w:rsidRPr="006E0C11" w:rsidRDefault="00793ACA" w:rsidP="006E0C11">
      <w:pPr>
        <w:pStyle w:val="NoSpacing"/>
        <w:rPr>
          <w:rFonts w:ascii="Times New Roman" w:hAnsi="Times New Roman" w:cs="Times New Roman"/>
          <w:sz w:val="24"/>
          <w:szCs w:val="24"/>
        </w:rPr>
      </w:pPr>
      <w:r w:rsidRPr="00A27DEC">
        <w:rPr>
          <w:rFonts w:ascii="Times New Roman" w:hAnsi="Times New Roman" w:cs="Times New Roman"/>
          <w:sz w:val="24"/>
          <w:szCs w:val="24"/>
        </w:rPr>
        <w:t xml:space="preserve">Pulse, temperature, height/weight, blood </w:t>
      </w:r>
      <w:r w:rsidR="006E0C11">
        <w:rPr>
          <w:rFonts w:ascii="Times New Roman" w:hAnsi="Times New Roman" w:cs="Times New Roman"/>
          <w:sz w:val="24"/>
          <w:szCs w:val="24"/>
        </w:rPr>
        <w:t xml:space="preserve">pressure, and pulse. </w:t>
      </w:r>
      <w:r w:rsidRPr="006E0C11">
        <w:rPr>
          <w:rFonts w:ascii="Times New Roman" w:hAnsi="Times New Roman" w:cs="Times New Roman"/>
          <w:sz w:val="24"/>
          <w:szCs w:val="24"/>
        </w:rPr>
        <w:t xml:space="preserve">Blood pressure and pulse will be measured in the sitting position for all subjects. </w:t>
      </w:r>
    </w:p>
    <w:p w14:paraId="54512F66" w14:textId="77777777" w:rsidR="00793ACA" w:rsidRPr="00D117FC" w:rsidRDefault="00793ACA" w:rsidP="00793ACA">
      <w:pPr>
        <w:jc w:val="both"/>
        <w:rPr>
          <w:b/>
        </w:rPr>
      </w:pPr>
    </w:p>
    <w:p w14:paraId="499442DB" w14:textId="77777777" w:rsidR="00793ACA" w:rsidRPr="00D117FC" w:rsidRDefault="00793ACA" w:rsidP="00793ACA">
      <w:pPr>
        <w:jc w:val="both"/>
        <w:rPr>
          <w:b/>
        </w:rPr>
      </w:pPr>
      <w:r w:rsidRPr="00D117FC">
        <w:rPr>
          <w:b/>
        </w:rPr>
        <w:t>Pregnancy Testing</w:t>
      </w:r>
    </w:p>
    <w:p w14:paraId="57D5AD7D" w14:textId="2DA6048C" w:rsidR="00793ACA" w:rsidRPr="00813750" w:rsidRDefault="005561F9" w:rsidP="00793ACA">
      <w:pPr>
        <w:jc w:val="both"/>
        <w:rPr>
          <w:u w:val="single"/>
        </w:rPr>
      </w:pPr>
      <w:r>
        <w:t>Serum</w:t>
      </w:r>
      <w:r w:rsidR="00793ACA" w:rsidRPr="00D117FC">
        <w:t xml:space="preserve"> pregnancy tests will be carried out </w:t>
      </w:r>
      <w:r w:rsidR="006E0C11">
        <w:t>for</w:t>
      </w:r>
      <w:r w:rsidR="00793ACA" w:rsidRPr="00D117FC">
        <w:t xml:space="preserve"> </w:t>
      </w:r>
      <w:r w:rsidR="006E0C11">
        <w:t>women</w:t>
      </w:r>
      <w:r w:rsidR="00793ACA" w:rsidRPr="00D117FC">
        <w:t xml:space="preserve"> of child-bearing potential</w:t>
      </w:r>
      <w:r w:rsidR="006E0C11">
        <w:t xml:space="preserve"> (WOCBP)</w:t>
      </w:r>
      <w:r w:rsidR="00793ACA" w:rsidRPr="00D117FC">
        <w:t>.</w:t>
      </w:r>
      <w:r w:rsidR="00793ACA" w:rsidRPr="00813750">
        <w:t xml:space="preserve"> </w:t>
      </w:r>
    </w:p>
    <w:p w14:paraId="3B6D7DC3" w14:textId="77777777" w:rsidR="00793ACA" w:rsidRDefault="00793ACA" w:rsidP="00793ACA">
      <w:pPr>
        <w:jc w:val="both"/>
        <w:rPr>
          <w:u w:val="single"/>
        </w:rPr>
      </w:pPr>
    </w:p>
    <w:p w14:paraId="727E6426" w14:textId="77777777" w:rsidR="00793ACA" w:rsidRDefault="00793ACA" w:rsidP="00793ACA">
      <w:pPr>
        <w:jc w:val="both"/>
        <w:rPr>
          <w:b/>
        </w:rPr>
      </w:pPr>
      <w:r>
        <w:rPr>
          <w:b/>
        </w:rPr>
        <w:t>C</w:t>
      </w:r>
      <w:r w:rsidRPr="00E313E1">
        <w:rPr>
          <w:b/>
        </w:rPr>
        <w:t>BC/CMP</w:t>
      </w:r>
    </w:p>
    <w:p w14:paraId="75D4FC7D" w14:textId="696E571A" w:rsidR="00793ACA" w:rsidRDefault="00793ACA" w:rsidP="00793ACA">
      <w:pPr>
        <w:jc w:val="both"/>
      </w:pPr>
      <w:r>
        <w:t>Safety labs will be drawn to review liver function and any other abnormalities that may lead the investigator to deem use of teriflunomide contraindicative and to follow-up at study conclusion for safety measures.</w:t>
      </w:r>
    </w:p>
    <w:p w14:paraId="49107FF9" w14:textId="190A5325" w:rsidR="00E20D96" w:rsidRDefault="00E20D96" w:rsidP="00E20D96">
      <w:pPr>
        <w:pStyle w:val="Default"/>
      </w:pPr>
    </w:p>
    <w:p w14:paraId="3C246432" w14:textId="5740568C" w:rsidR="00E20D96" w:rsidRDefault="00E20D96" w:rsidP="00E20D96">
      <w:pPr>
        <w:pStyle w:val="Default"/>
        <w:rPr>
          <w:b/>
          <w:bCs/>
        </w:rPr>
      </w:pPr>
      <w:r>
        <w:rPr>
          <w:b/>
          <w:bCs/>
        </w:rPr>
        <w:t>Rapid Elimination Procedures</w:t>
      </w:r>
    </w:p>
    <w:p w14:paraId="55B7150D" w14:textId="0F89342B" w:rsidR="00E20D96" w:rsidRDefault="00E20D96" w:rsidP="00E20D96">
      <w:r w:rsidRPr="00A31444">
        <w:t>Oral intake of cholestyramine or activated charcoal significantly</w:t>
      </w:r>
      <w:r>
        <w:t xml:space="preserve"> accelerates the elimination of </w:t>
      </w:r>
      <w:r w:rsidRPr="00A31444">
        <w:t xml:space="preserve">teriflunomide. The preferred </w:t>
      </w:r>
      <w:r w:rsidRPr="00A31444">
        <w:rPr>
          <w:bCs/>
          <w:iCs/>
        </w:rPr>
        <w:t>rapid elimination</w:t>
      </w:r>
      <w:r w:rsidRPr="00A31444">
        <w:rPr>
          <w:b/>
          <w:bCs/>
          <w:i/>
          <w:iCs/>
        </w:rPr>
        <w:t xml:space="preserve"> </w:t>
      </w:r>
      <w:r w:rsidRPr="00A31444">
        <w:t>medication i</w:t>
      </w:r>
      <w:r>
        <w:t xml:space="preserve">s cholestyramine. Without using </w:t>
      </w:r>
      <w:r w:rsidRPr="00A31444">
        <w:t xml:space="preserve">the </w:t>
      </w:r>
      <w:r w:rsidRPr="00A31444">
        <w:rPr>
          <w:bCs/>
          <w:iCs/>
        </w:rPr>
        <w:t>rapid elimination</w:t>
      </w:r>
      <w:r w:rsidRPr="00A31444">
        <w:rPr>
          <w:b/>
          <w:bCs/>
          <w:i/>
          <w:iCs/>
        </w:rPr>
        <w:t xml:space="preserve"> </w:t>
      </w:r>
      <w:r w:rsidRPr="00A31444">
        <w:t xml:space="preserve">procedure, it may take </w:t>
      </w:r>
      <w:r>
        <w:rPr>
          <w:bCs/>
          <w:iCs/>
        </w:rPr>
        <w:t>up to two years</w:t>
      </w:r>
      <w:r w:rsidRPr="00A31444">
        <w:t xml:space="preserve"> for teriflunomide plasma</w:t>
      </w:r>
      <w:r>
        <w:t xml:space="preserve"> </w:t>
      </w:r>
      <w:r w:rsidRPr="00A31444">
        <w:t xml:space="preserve">concentrations to reach acceptable low levels (≤ 0.02 </w:t>
      </w:r>
      <w:r w:rsidRPr="00A31444">
        <w:lastRenderedPageBreak/>
        <w:t xml:space="preserve">μg/mL). All </w:t>
      </w:r>
      <w:r>
        <w:rPr>
          <w:color w:val="000000"/>
        </w:rPr>
        <w:t>participants</w:t>
      </w:r>
      <w:r w:rsidRPr="00A31444">
        <w:t xml:space="preserve"> who discontinue</w:t>
      </w:r>
      <w:r>
        <w:t xml:space="preserve"> teriflunomide early or in the case that the colestipol hydrochloride does not adequately eliminate teriflunomide based on blood levels (plasma concentration exceeding </w:t>
      </w:r>
      <w:r w:rsidRPr="00A31444">
        <w:t>0.02 μg/mL</w:t>
      </w:r>
      <w:r>
        <w:t xml:space="preserve">), the </w:t>
      </w:r>
      <w:r>
        <w:rPr>
          <w:color w:val="000000"/>
        </w:rPr>
        <w:t>participant</w:t>
      </w:r>
      <w:r>
        <w:t xml:space="preserve"> must be willing to </w:t>
      </w:r>
      <w:r w:rsidRPr="00A31444">
        <w:t xml:space="preserve">undergo the </w:t>
      </w:r>
      <w:r w:rsidRPr="00E20D96">
        <w:t>rapid elimination</w:t>
      </w:r>
      <w:r w:rsidRPr="00A31444">
        <w:rPr>
          <w:b/>
          <w:bCs/>
          <w:i/>
          <w:iCs/>
        </w:rPr>
        <w:t xml:space="preserve"> </w:t>
      </w:r>
      <w:r w:rsidRPr="00A31444">
        <w:t xml:space="preserve">procedure. </w:t>
      </w:r>
      <w:r>
        <w:t>This</w:t>
      </w:r>
      <w:r w:rsidRPr="00A31444">
        <w:t xml:space="preserve"> procedure must be carried out at the study site by the </w:t>
      </w:r>
      <w:r>
        <w:t xml:space="preserve">Principal </w:t>
      </w:r>
      <w:r w:rsidRPr="00A31444">
        <w:t>Investigator.</w:t>
      </w:r>
    </w:p>
    <w:p w14:paraId="6BAF8889" w14:textId="77777777" w:rsidR="00E20D96" w:rsidRPr="00A31444" w:rsidRDefault="00E20D96" w:rsidP="00E20D96"/>
    <w:p w14:paraId="07E9CBBB" w14:textId="6F1B9F44" w:rsidR="00E20D96" w:rsidRPr="00A31444" w:rsidRDefault="00E20D96" w:rsidP="00E20D96">
      <w:r>
        <w:t>The</w:t>
      </w:r>
      <w:r w:rsidRPr="00A31444">
        <w:t xml:space="preserve"> 11-day </w:t>
      </w:r>
      <w:r w:rsidRPr="00A31444">
        <w:rPr>
          <w:bCs/>
          <w:iCs/>
        </w:rPr>
        <w:t>rapid elimination</w:t>
      </w:r>
      <w:r w:rsidRPr="00A31444">
        <w:rPr>
          <w:b/>
          <w:bCs/>
          <w:i/>
          <w:iCs/>
        </w:rPr>
        <w:t xml:space="preserve"> </w:t>
      </w:r>
      <w:r w:rsidRPr="00A31444">
        <w:t>procedure must be initiated in all subjects who have</w:t>
      </w:r>
    </w:p>
    <w:p w14:paraId="2F396827" w14:textId="77777777" w:rsidR="00E20D96" w:rsidRPr="00A31444" w:rsidRDefault="00E20D96" w:rsidP="00E20D96">
      <w:r w:rsidRPr="00A31444">
        <w:t xml:space="preserve">permanently discontinued </w:t>
      </w:r>
      <w:r>
        <w:t>teriflunomide</w:t>
      </w:r>
      <w:r w:rsidRPr="00A31444">
        <w:t>. The recommended procedure is 8 gram</w:t>
      </w:r>
      <w:r>
        <w:t>s</w:t>
      </w:r>
    </w:p>
    <w:p w14:paraId="485D61E1" w14:textId="77777777" w:rsidR="00E20D96" w:rsidRDefault="00E20D96" w:rsidP="00E20D96">
      <w:r w:rsidRPr="00A31444">
        <w:t>cholestyramine administered every 8 hours for 11 days. Alternatively</w:t>
      </w:r>
      <w:r>
        <w:t xml:space="preserve">, 4 grams of cholestyramine administered every8 hours for 11 days. Also, another alternative would be </w:t>
      </w:r>
      <w:r w:rsidRPr="00A31444">
        <w:t>50 gram</w:t>
      </w:r>
      <w:r>
        <w:t>s</w:t>
      </w:r>
      <w:r w:rsidRPr="00A31444">
        <w:t xml:space="preserve"> oral activated</w:t>
      </w:r>
      <w:r>
        <w:t xml:space="preserve"> </w:t>
      </w:r>
      <w:r w:rsidRPr="00A31444">
        <w:t>charcoal</w:t>
      </w:r>
      <w:r>
        <w:t xml:space="preserve"> powder administered every 12</w:t>
      </w:r>
      <w:r w:rsidRPr="00A31444">
        <w:t xml:space="preserve"> hours for 11 days.</w:t>
      </w:r>
    </w:p>
    <w:p w14:paraId="4180DA0B" w14:textId="77777777" w:rsidR="00E20D96" w:rsidRPr="00A31444" w:rsidRDefault="00E20D96" w:rsidP="00E20D96"/>
    <w:p w14:paraId="6BACD383" w14:textId="490FE16E" w:rsidR="00E20D96" w:rsidRPr="00E20D96" w:rsidRDefault="00E20D96" w:rsidP="00E20D96">
      <w:pPr>
        <w:rPr>
          <w:bCs/>
          <w:iCs/>
        </w:rPr>
      </w:pPr>
      <w:r w:rsidRPr="00A31444">
        <w:rPr>
          <w:bCs/>
          <w:iCs/>
        </w:rPr>
        <w:t>After treatment with either cholestyramine or activated charcoal, the teriflunomide plasma</w:t>
      </w:r>
      <w:r>
        <w:rPr>
          <w:bCs/>
          <w:iCs/>
        </w:rPr>
        <w:t xml:space="preserve"> </w:t>
      </w:r>
      <w:r w:rsidRPr="00A31444">
        <w:rPr>
          <w:bCs/>
          <w:iCs/>
        </w:rPr>
        <w:t>concentration will be measured. Feedback on plasma concentration above 0.02 μg/mL will</w:t>
      </w:r>
      <w:r>
        <w:rPr>
          <w:bCs/>
          <w:iCs/>
        </w:rPr>
        <w:t xml:space="preserve"> </w:t>
      </w:r>
      <w:r w:rsidRPr="00A31444">
        <w:rPr>
          <w:bCs/>
          <w:iCs/>
        </w:rPr>
        <w:t xml:space="preserve">be provided </w:t>
      </w:r>
      <w:r>
        <w:rPr>
          <w:bCs/>
          <w:iCs/>
        </w:rPr>
        <w:t xml:space="preserve">to all participants who meet this criterion. </w:t>
      </w:r>
      <w:r w:rsidRPr="00A31444">
        <w:t>Both cholestyramine and activated charcoal may influence the absorption of estrogens and</w:t>
      </w:r>
      <w:r>
        <w:t xml:space="preserve"> </w:t>
      </w:r>
      <w:r w:rsidRPr="00A31444">
        <w:t>progestogens and reduce the effectiveness of oral contraceptives; therefore, the use of</w:t>
      </w:r>
      <w:r>
        <w:t xml:space="preserve"> </w:t>
      </w:r>
      <w:r w:rsidRPr="00A31444">
        <w:t xml:space="preserve">alternative contraceptive methods for women is recommended during the </w:t>
      </w:r>
      <w:r w:rsidRPr="00A31444">
        <w:rPr>
          <w:bCs/>
          <w:iCs/>
        </w:rPr>
        <w:t>rapid elimination</w:t>
      </w:r>
      <w:r>
        <w:t xml:space="preserve"> </w:t>
      </w:r>
      <w:r w:rsidRPr="00A31444">
        <w:t xml:space="preserve">procedure. The contraindications of the </w:t>
      </w:r>
      <w:r w:rsidRPr="00A31444">
        <w:rPr>
          <w:bCs/>
          <w:iCs/>
        </w:rPr>
        <w:t xml:space="preserve">rapid elimination medications </w:t>
      </w:r>
      <w:r>
        <w:t>will</w:t>
      </w:r>
      <w:r w:rsidRPr="00A31444">
        <w:t xml:space="preserve"> be</w:t>
      </w:r>
      <w:r>
        <w:t xml:space="preserve"> </w:t>
      </w:r>
      <w:r w:rsidRPr="00A31444">
        <w:t xml:space="preserve">completely reviewed by the </w:t>
      </w:r>
      <w:r>
        <w:t xml:space="preserve">Principal </w:t>
      </w:r>
      <w:r w:rsidRPr="00A31444">
        <w:t xml:space="preserve">Investigator prior to the </w:t>
      </w:r>
      <w:r w:rsidRPr="00A31444">
        <w:rPr>
          <w:bCs/>
          <w:iCs/>
        </w:rPr>
        <w:t>rapid elimination procedure</w:t>
      </w:r>
      <w:r>
        <w:t>.</w:t>
      </w:r>
    </w:p>
    <w:p w14:paraId="6167D809" w14:textId="77777777" w:rsidR="006E0C11" w:rsidRDefault="006E0C11" w:rsidP="006E0C11">
      <w:pPr>
        <w:pStyle w:val="NoSpacing"/>
        <w:jc w:val="both"/>
        <w:rPr>
          <w:rFonts w:ascii="Times New Roman" w:hAnsi="Times New Roman" w:cs="Times New Roman"/>
          <w:b/>
          <w:bCs/>
        </w:rPr>
      </w:pPr>
    </w:p>
    <w:p w14:paraId="20A65A79" w14:textId="437E51C9" w:rsidR="006E0C11" w:rsidRPr="006E0C11" w:rsidRDefault="006E0C11" w:rsidP="006E0C11">
      <w:pPr>
        <w:pStyle w:val="NoSpacing"/>
        <w:jc w:val="both"/>
        <w:rPr>
          <w:rFonts w:ascii="Times New Roman" w:hAnsi="Times New Roman" w:cs="Times New Roman"/>
          <w:b/>
          <w:bCs/>
          <w:sz w:val="24"/>
          <w:szCs w:val="24"/>
        </w:rPr>
      </w:pPr>
      <w:r w:rsidRPr="006E0C11">
        <w:rPr>
          <w:rFonts w:ascii="Times New Roman" w:hAnsi="Times New Roman" w:cs="Times New Roman"/>
          <w:b/>
          <w:bCs/>
          <w:sz w:val="24"/>
          <w:szCs w:val="24"/>
        </w:rPr>
        <w:t>Sc</w:t>
      </w:r>
      <w:r>
        <w:rPr>
          <w:rFonts w:ascii="Times New Roman" w:hAnsi="Times New Roman" w:cs="Times New Roman"/>
          <w:b/>
          <w:bCs/>
          <w:sz w:val="24"/>
          <w:szCs w:val="24"/>
        </w:rPr>
        <w:t>reening/</w:t>
      </w:r>
      <w:r w:rsidRPr="006E0C11">
        <w:rPr>
          <w:rFonts w:ascii="Times New Roman" w:hAnsi="Times New Roman" w:cs="Times New Roman"/>
          <w:b/>
          <w:bCs/>
          <w:sz w:val="24"/>
          <w:szCs w:val="24"/>
        </w:rPr>
        <w:t>Baseline visit (120 minutes)</w:t>
      </w:r>
    </w:p>
    <w:p w14:paraId="25225AC9" w14:textId="370F66D8" w:rsidR="006E0C11" w:rsidRDefault="006E0C11" w:rsidP="006E0C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At screening/baseline, informed consent will be obtained, demographics and medical history will be collected, inclusion and exclusion criteria will be assessed, vital signs will be taken, pregnancy test will be performed for </w:t>
      </w:r>
      <w:r w:rsidR="006246F0">
        <w:rPr>
          <w:rFonts w:ascii="Times New Roman" w:hAnsi="Times New Roman" w:cs="Times New Roman"/>
          <w:sz w:val="24"/>
          <w:szCs w:val="24"/>
        </w:rPr>
        <w:t xml:space="preserve">all women, follicle FSH will be tested for women who are post-menopausal, </w:t>
      </w:r>
      <w:r>
        <w:rPr>
          <w:rFonts w:ascii="Times New Roman" w:hAnsi="Times New Roman" w:cs="Times New Roman"/>
          <w:sz w:val="24"/>
          <w:szCs w:val="24"/>
        </w:rPr>
        <w:t>CBC/CMP safety labs will be drawn, a physical exam will be performed, and subjects will be counseled on the importance of medication adherence.</w:t>
      </w:r>
    </w:p>
    <w:p w14:paraId="3CEC65DB" w14:textId="77777777" w:rsidR="006E0C11" w:rsidRPr="006E0C11" w:rsidRDefault="006E0C11" w:rsidP="006E0C11">
      <w:pPr>
        <w:pStyle w:val="NoSpacing"/>
        <w:jc w:val="both"/>
        <w:rPr>
          <w:rFonts w:ascii="Times New Roman" w:hAnsi="Times New Roman" w:cs="Times New Roman"/>
          <w:sz w:val="24"/>
          <w:szCs w:val="24"/>
        </w:rPr>
      </w:pPr>
    </w:p>
    <w:p w14:paraId="3201A76A" w14:textId="77777777" w:rsidR="006E0C11" w:rsidRPr="006E0C11" w:rsidRDefault="006E0C11" w:rsidP="006E0C11">
      <w:pPr>
        <w:pStyle w:val="NoSpacing"/>
        <w:jc w:val="both"/>
        <w:rPr>
          <w:rFonts w:ascii="Times New Roman" w:hAnsi="Times New Roman" w:cs="Times New Roman"/>
          <w:b/>
          <w:bCs/>
          <w:sz w:val="24"/>
          <w:szCs w:val="24"/>
        </w:rPr>
      </w:pPr>
      <w:r w:rsidRPr="006E0C11">
        <w:rPr>
          <w:rFonts w:ascii="Times New Roman" w:hAnsi="Times New Roman" w:cs="Times New Roman"/>
          <w:b/>
          <w:bCs/>
          <w:sz w:val="24"/>
          <w:szCs w:val="24"/>
        </w:rPr>
        <w:t>Visit 1 – Day 4 (90 minutes)</w:t>
      </w:r>
    </w:p>
    <w:p w14:paraId="0480518C" w14:textId="7C859613" w:rsidR="006E0C11" w:rsidRPr="006E0C11" w:rsidRDefault="006E0C11" w:rsidP="006E0C11">
      <w:pPr>
        <w:pStyle w:val="NoSpacing"/>
        <w:jc w:val="both"/>
        <w:rPr>
          <w:rFonts w:ascii="Times New Roman" w:hAnsi="Times New Roman" w:cs="Times New Roman"/>
          <w:sz w:val="24"/>
          <w:szCs w:val="24"/>
        </w:rPr>
      </w:pPr>
      <w:r w:rsidRPr="006E0C11">
        <w:rPr>
          <w:rFonts w:ascii="Times New Roman" w:hAnsi="Times New Roman" w:cs="Times New Roman"/>
          <w:sz w:val="24"/>
          <w:szCs w:val="24"/>
        </w:rPr>
        <w:t>V</w:t>
      </w:r>
      <w:r w:rsidR="00384D63">
        <w:rPr>
          <w:rFonts w:ascii="Times New Roman" w:hAnsi="Times New Roman" w:cs="Times New Roman"/>
          <w:sz w:val="24"/>
          <w:szCs w:val="24"/>
        </w:rPr>
        <w:t xml:space="preserve">ital signs, </w:t>
      </w:r>
      <w:r w:rsidR="0094350A">
        <w:rPr>
          <w:rFonts w:ascii="Times New Roman" w:hAnsi="Times New Roman" w:cs="Times New Roman"/>
          <w:sz w:val="24"/>
          <w:szCs w:val="24"/>
        </w:rPr>
        <w:t>adverse events and medication review</w:t>
      </w:r>
      <w:r w:rsidRPr="006E0C11">
        <w:rPr>
          <w:rFonts w:ascii="Times New Roman" w:hAnsi="Times New Roman" w:cs="Times New Roman"/>
          <w:sz w:val="24"/>
          <w:szCs w:val="24"/>
        </w:rPr>
        <w:t>, dispense teriflunomide, review labs, pregnancy test</w:t>
      </w:r>
      <w:r w:rsidR="005701FF">
        <w:rPr>
          <w:rFonts w:ascii="Times New Roman" w:hAnsi="Times New Roman" w:cs="Times New Roman"/>
          <w:sz w:val="24"/>
          <w:szCs w:val="24"/>
        </w:rPr>
        <w:t xml:space="preserve"> for WOCBP</w:t>
      </w:r>
      <w:r w:rsidRPr="006E0C11">
        <w:rPr>
          <w:rFonts w:ascii="Times New Roman" w:hAnsi="Times New Roman" w:cs="Times New Roman"/>
          <w:sz w:val="24"/>
          <w:szCs w:val="24"/>
        </w:rPr>
        <w:t>, review adherence</w:t>
      </w:r>
      <w:r w:rsidR="005701FF">
        <w:rPr>
          <w:rFonts w:ascii="Times New Roman" w:hAnsi="Times New Roman" w:cs="Times New Roman"/>
          <w:sz w:val="24"/>
          <w:szCs w:val="24"/>
        </w:rPr>
        <w:t>.</w:t>
      </w:r>
    </w:p>
    <w:p w14:paraId="49C518A3" w14:textId="77777777" w:rsidR="006E0C11" w:rsidRPr="006E0C11" w:rsidRDefault="006E0C11" w:rsidP="006E0C11">
      <w:pPr>
        <w:pStyle w:val="NoSpacing"/>
        <w:jc w:val="both"/>
        <w:rPr>
          <w:rFonts w:ascii="Times New Roman" w:hAnsi="Times New Roman" w:cs="Times New Roman"/>
          <w:sz w:val="24"/>
          <w:szCs w:val="24"/>
        </w:rPr>
      </w:pPr>
    </w:p>
    <w:p w14:paraId="294F0892" w14:textId="77777777" w:rsidR="006E0C11" w:rsidRPr="006E0C11" w:rsidRDefault="006E0C11" w:rsidP="006E0C11">
      <w:pPr>
        <w:pStyle w:val="NoSpacing"/>
        <w:jc w:val="both"/>
        <w:rPr>
          <w:rFonts w:ascii="Times New Roman" w:hAnsi="Times New Roman" w:cs="Times New Roman"/>
          <w:b/>
          <w:bCs/>
          <w:sz w:val="24"/>
          <w:szCs w:val="24"/>
        </w:rPr>
      </w:pPr>
      <w:r w:rsidRPr="006E0C11">
        <w:rPr>
          <w:rFonts w:ascii="Times New Roman" w:hAnsi="Times New Roman" w:cs="Times New Roman"/>
          <w:b/>
          <w:bCs/>
          <w:sz w:val="24"/>
          <w:szCs w:val="24"/>
        </w:rPr>
        <w:t>Visit 2 – Day 11 (60 minutes)</w:t>
      </w:r>
    </w:p>
    <w:p w14:paraId="58089D55" w14:textId="0D8F4125" w:rsidR="006E0C11" w:rsidRPr="006E0C11" w:rsidRDefault="006E0C11" w:rsidP="006E0C11">
      <w:pPr>
        <w:pStyle w:val="NoSpacing"/>
        <w:jc w:val="both"/>
        <w:rPr>
          <w:rFonts w:ascii="Times New Roman" w:hAnsi="Times New Roman" w:cs="Times New Roman"/>
          <w:sz w:val="24"/>
          <w:szCs w:val="24"/>
        </w:rPr>
      </w:pPr>
      <w:r>
        <w:rPr>
          <w:rFonts w:ascii="Times New Roman" w:hAnsi="Times New Roman" w:cs="Times New Roman"/>
          <w:sz w:val="24"/>
          <w:szCs w:val="24"/>
        </w:rPr>
        <w:t>V</w:t>
      </w:r>
      <w:r w:rsidR="005701FF">
        <w:rPr>
          <w:rFonts w:ascii="Times New Roman" w:hAnsi="Times New Roman" w:cs="Times New Roman"/>
          <w:sz w:val="24"/>
          <w:szCs w:val="24"/>
        </w:rPr>
        <w:t>ital signs, adverse events</w:t>
      </w:r>
      <w:r w:rsidR="0094350A">
        <w:rPr>
          <w:rFonts w:ascii="Times New Roman" w:hAnsi="Times New Roman" w:cs="Times New Roman"/>
          <w:sz w:val="24"/>
          <w:szCs w:val="24"/>
        </w:rPr>
        <w:t xml:space="preserve"> and medication</w:t>
      </w:r>
      <w:r w:rsidR="005701FF">
        <w:rPr>
          <w:rFonts w:ascii="Times New Roman" w:hAnsi="Times New Roman" w:cs="Times New Roman"/>
          <w:sz w:val="24"/>
          <w:szCs w:val="24"/>
        </w:rPr>
        <w:t xml:space="preserve"> review</w:t>
      </w:r>
      <w:r w:rsidRPr="006E0C11">
        <w:rPr>
          <w:rFonts w:ascii="Times New Roman" w:hAnsi="Times New Roman" w:cs="Times New Roman"/>
          <w:sz w:val="24"/>
          <w:szCs w:val="24"/>
        </w:rPr>
        <w:t>, PK blood draw, pregnancy test</w:t>
      </w:r>
      <w:r w:rsidR="005701FF">
        <w:rPr>
          <w:rFonts w:ascii="Times New Roman" w:hAnsi="Times New Roman" w:cs="Times New Roman"/>
          <w:sz w:val="24"/>
          <w:szCs w:val="24"/>
        </w:rPr>
        <w:t xml:space="preserve"> for WOCBP</w:t>
      </w:r>
      <w:r w:rsidRPr="006E0C11">
        <w:rPr>
          <w:rFonts w:ascii="Times New Roman" w:hAnsi="Times New Roman" w:cs="Times New Roman"/>
          <w:sz w:val="24"/>
          <w:szCs w:val="24"/>
        </w:rPr>
        <w:t>, review adherence, CBC/CMP safety labs</w:t>
      </w:r>
      <w:r w:rsidR="005701FF">
        <w:rPr>
          <w:rFonts w:ascii="Times New Roman" w:hAnsi="Times New Roman" w:cs="Times New Roman"/>
          <w:sz w:val="24"/>
          <w:szCs w:val="24"/>
        </w:rPr>
        <w:t>.</w:t>
      </w:r>
    </w:p>
    <w:p w14:paraId="5D88ACFB" w14:textId="77777777" w:rsidR="006E0C11" w:rsidRPr="006E0C11" w:rsidRDefault="006E0C11" w:rsidP="006E0C11">
      <w:pPr>
        <w:pStyle w:val="NoSpacing"/>
        <w:jc w:val="both"/>
        <w:rPr>
          <w:rFonts w:ascii="Times New Roman" w:hAnsi="Times New Roman" w:cs="Times New Roman"/>
          <w:sz w:val="24"/>
          <w:szCs w:val="24"/>
        </w:rPr>
      </w:pPr>
    </w:p>
    <w:p w14:paraId="5F60F0A0" w14:textId="77777777" w:rsidR="006E0C11" w:rsidRPr="006E0C11" w:rsidRDefault="006E0C11" w:rsidP="006E0C11">
      <w:pPr>
        <w:pStyle w:val="NoSpacing"/>
        <w:jc w:val="both"/>
        <w:rPr>
          <w:rFonts w:ascii="Times New Roman" w:hAnsi="Times New Roman" w:cs="Times New Roman"/>
          <w:b/>
          <w:sz w:val="24"/>
          <w:szCs w:val="24"/>
        </w:rPr>
      </w:pPr>
      <w:r w:rsidRPr="006E0C11">
        <w:rPr>
          <w:rFonts w:ascii="Times New Roman" w:hAnsi="Times New Roman" w:cs="Times New Roman"/>
          <w:b/>
          <w:sz w:val="24"/>
          <w:szCs w:val="24"/>
        </w:rPr>
        <w:t>Visit 3- Day 18 (90 minutes)</w:t>
      </w:r>
    </w:p>
    <w:p w14:paraId="24FC02FE" w14:textId="4CBAAEB9" w:rsidR="006E0C11" w:rsidRPr="006E0C11" w:rsidRDefault="005701FF" w:rsidP="006E0C11">
      <w:pPr>
        <w:pStyle w:val="NoSpacing"/>
        <w:jc w:val="both"/>
        <w:rPr>
          <w:rFonts w:ascii="Times New Roman" w:hAnsi="Times New Roman" w:cs="Times New Roman"/>
          <w:sz w:val="24"/>
          <w:szCs w:val="24"/>
        </w:rPr>
      </w:pPr>
      <w:r w:rsidRPr="006E0C11">
        <w:rPr>
          <w:rFonts w:ascii="Times New Roman" w:hAnsi="Times New Roman" w:cs="Times New Roman"/>
          <w:sz w:val="24"/>
          <w:szCs w:val="24"/>
        </w:rPr>
        <w:t>V</w:t>
      </w:r>
      <w:r>
        <w:rPr>
          <w:rFonts w:ascii="Times New Roman" w:hAnsi="Times New Roman" w:cs="Times New Roman"/>
          <w:sz w:val="24"/>
          <w:szCs w:val="24"/>
        </w:rPr>
        <w:t xml:space="preserve">ital signs, </w:t>
      </w:r>
      <w:r w:rsidR="0094350A">
        <w:rPr>
          <w:rFonts w:ascii="Times New Roman" w:hAnsi="Times New Roman" w:cs="Times New Roman"/>
          <w:sz w:val="24"/>
          <w:szCs w:val="24"/>
        </w:rPr>
        <w:t>adverse events and medication review</w:t>
      </w:r>
      <w:r w:rsidR="006E0C11" w:rsidRPr="006E0C11">
        <w:rPr>
          <w:rFonts w:ascii="Times New Roman" w:hAnsi="Times New Roman" w:cs="Times New Roman"/>
          <w:sz w:val="24"/>
          <w:szCs w:val="24"/>
        </w:rPr>
        <w:t>, dispense colestipol hydrochloride, PK blood draw, pregnancy test</w:t>
      </w:r>
      <w:r>
        <w:rPr>
          <w:rFonts w:ascii="Times New Roman" w:hAnsi="Times New Roman" w:cs="Times New Roman"/>
          <w:sz w:val="24"/>
          <w:szCs w:val="24"/>
        </w:rPr>
        <w:t xml:space="preserve"> for WOCBP</w:t>
      </w:r>
      <w:r w:rsidR="006E0C11" w:rsidRPr="006E0C11">
        <w:rPr>
          <w:rFonts w:ascii="Times New Roman" w:hAnsi="Times New Roman" w:cs="Times New Roman"/>
          <w:sz w:val="24"/>
          <w:szCs w:val="24"/>
        </w:rPr>
        <w:t>, review adherence</w:t>
      </w:r>
      <w:r>
        <w:rPr>
          <w:rFonts w:ascii="Times New Roman" w:hAnsi="Times New Roman" w:cs="Times New Roman"/>
          <w:sz w:val="24"/>
          <w:szCs w:val="24"/>
        </w:rPr>
        <w:t>.</w:t>
      </w:r>
    </w:p>
    <w:p w14:paraId="730B8E15" w14:textId="77777777" w:rsidR="006E0C11" w:rsidRPr="006E0C11" w:rsidRDefault="006E0C11" w:rsidP="006E0C11">
      <w:pPr>
        <w:pStyle w:val="NoSpacing"/>
        <w:jc w:val="both"/>
        <w:rPr>
          <w:rFonts w:ascii="Times New Roman" w:hAnsi="Times New Roman" w:cs="Times New Roman"/>
          <w:b/>
          <w:bCs/>
          <w:sz w:val="24"/>
          <w:szCs w:val="24"/>
        </w:rPr>
      </w:pPr>
    </w:p>
    <w:p w14:paraId="1D56A43B" w14:textId="77777777" w:rsidR="006E0C11" w:rsidRPr="006E0C11" w:rsidRDefault="006E0C11" w:rsidP="006E0C11">
      <w:pPr>
        <w:pStyle w:val="NoSpacing"/>
        <w:jc w:val="both"/>
        <w:rPr>
          <w:rFonts w:ascii="Times New Roman" w:hAnsi="Times New Roman" w:cs="Times New Roman"/>
          <w:b/>
          <w:bCs/>
          <w:sz w:val="24"/>
          <w:szCs w:val="24"/>
        </w:rPr>
      </w:pPr>
      <w:r w:rsidRPr="006E0C11">
        <w:rPr>
          <w:rFonts w:ascii="Times New Roman" w:hAnsi="Times New Roman" w:cs="Times New Roman"/>
          <w:b/>
          <w:bCs/>
          <w:sz w:val="24"/>
          <w:szCs w:val="24"/>
        </w:rPr>
        <w:t>Visit 4 – Day 22 (45 minutes)</w:t>
      </w:r>
    </w:p>
    <w:p w14:paraId="1FE734CA" w14:textId="0B5AA7C0" w:rsidR="006E0C11" w:rsidRPr="006E0C11" w:rsidRDefault="006E0C11" w:rsidP="006E0C11">
      <w:pPr>
        <w:pStyle w:val="NoSpacing"/>
        <w:jc w:val="both"/>
        <w:rPr>
          <w:rFonts w:ascii="Times New Roman" w:hAnsi="Times New Roman" w:cs="Times New Roman"/>
          <w:sz w:val="24"/>
          <w:szCs w:val="24"/>
        </w:rPr>
      </w:pPr>
      <w:r w:rsidRPr="006E0C11">
        <w:rPr>
          <w:rFonts w:ascii="Times New Roman" w:hAnsi="Times New Roman" w:cs="Times New Roman"/>
          <w:sz w:val="24"/>
          <w:szCs w:val="24"/>
        </w:rPr>
        <w:t>V</w:t>
      </w:r>
      <w:r w:rsidR="00167B05">
        <w:rPr>
          <w:rFonts w:ascii="Times New Roman" w:hAnsi="Times New Roman" w:cs="Times New Roman"/>
          <w:sz w:val="24"/>
          <w:szCs w:val="24"/>
        </w:rPr>
        <w:t xml:space="preserve">ital signs, </w:t>
      </w:r>
      <w:r w:rsidR="0094350A">
        <w:rPr>
          <w:rFonts w:ascii="Times New Roman" w:hAnsi="Times New Roman" w:cs="Times New Roman"/>
          <w:sz w:val="24"/>
          <w:szCs w:val="24"/>
        </w:rPr>
        <w:t>adverse events and medication review</w:t>
      </w:r>
      <w:r w:rsidRPr="006E0C11">
        <w:rPr>
          <w:rFonts w:ascii="Times New Roman" w:hAnsi="Times New Roman" w:cs="Times New Roman"/>
          <w:sz w:val="24"/>
          <w:szCs w:val="24"/>
        </w:rPr>
        <w:t>, PK blood draw, pregnancy test</w:t>
      </w:r>
      <w:r w:rsidR="00167B05">
        <w:rPr>
          <w:rFonts w:ascii="Times New Roman" w:hAnsi="Times New Roman" w:cs="Times New Roman"/>
          <w:sz w:val="24"/>
          <w:szCs w:val="24"/>
        </w:rPr>
        <w:t xml:space="preserve"> for WOCBP</w:t>
      </w:r>
      <w:r w:rsidRPr="006E0C11">
        <w:rPr>
          <w:rFonts w:ascii="Times New Roman" w:hAnsi="Times New Roman" w:cs="Times New Roman"/>
          <w:sz w:val="24"/>
          <w:szCs w:val="24"/>
        </w:rPr>
        <w:t>, review adherence</w:t>
      </w:r>
      <w:r w:rsidR="00167B05">
        <w:rPr>
          <w:rFonts w:ascii="Times New Roman" w:hAnsi="Times New Roman" w:cs="Times New Roman"/>
          <w:sz w:val="24"/>
          <w:szCs w:val="24"/>
        </w:rPr>
        <w:t>.</w:t>
      </w:r>
    </w:p>
    <w:p w14:paraId="03E0FC8F" w14:textId="77777777" w:rsidR="006E0C11" w:rsidRPr="006E0C11" w:rsidRDefault="006E0C11" w:rsidP="006E0C11">
      <w:pPr>
        <w:pStyle w:val="NoSpacing"/>
        <w:jc w:val="both"/>
        <w:rPr>
          <w:rFonts w:ascii="Times New Roman" w:hAnsi="Times New Roman" w:cs="Times New Roman"/>
          <w:sz w:val="24"/>
          <w:szCs w:val="24"/>
        </w:rPr>
      </w:pPr>
    </w:p>
    <w:p w14:paraId="69459EE3" w14:textId="77777777" w:rsidR="006E0C11" w:rsidRPr="006E0C11" w:rsidRDefault="006E0C11" w:rsidP="006E0C11">
      <w:pPr>
        <w:pStyle w:val="NoSpacing"/>
        <w:jc w:val="both"/>
        <w:rPr>
          <w:rFonts w:ascii="Times New Roman" w:hAnsi="Times New Roman" w:cs="Times New Roman"/>
          <w:b/>
          <w:sz w:val="24"/>
          <w:szCs w:val="24"/>
        </w:rPr>
      </w:pPr>
      <w:r w:rsidRPr="006E0C11">
        <w:rPr>
          <w:rFonts w:ascii="Times New Roman" w:hAnsi="Times New Roman" w:cs="Times New Roman"/>
          <w:b/>
          <w:sz w:val="24"/>
          <w:szCs w:val="24"/>
        </w:rPr>
        <w:t>Visit 5- Day 28 (45 minutes)</w:t>
      </w:r>
    </w:p>
    <w:p w14:paraId="0A4ECF5D" w14:textId="1F84981F" w:rsidR="00167B05" w:rsidRPr="006E0C11" w:rsidRDefault="00167B05" w:rsidP="00167B05">
      <w:pPr>
        <w:pStyle w:val="NoSpacing"/>
        <w:jc w:val="both"/>
        <w:rPr>
          <w:rFonts w:ascii="Times New Roman" w:hAnsi="Times New Roman" w:cs="Times New Roman"/>
          <w:sz w:val="24"/>
          <w:szCs w:val="24"/>
        </w:rPr>
      </w:pPr>
      <w:r w:rsidRPr="006E0C11">
        <w:rPr>
          <w:rFonts w:ascii="Times New Roman" w:hAnsi="Times New Roman" w:cs="Times New Roman"/>
          <w:sz w:val="24"/>
          <w:szCs w:val="24"/>
        </w:rPr>
        <w:lastRenderedPageBreak/>
        <w:t>V</w:t>
      </w:r>
      <w:r>
        <w:rPr>
          <w:rFonts w:ascii="Times New Roman" w:hAnsi="Times New Roman" w:cs="Times New Roman"/>
          <w:sz w:val="24"/>
          <w:szCs w:val="24"/>
        </w:rPr>
        <w:t xml:space="preserve">ital signs, </w:t>
      </w:r>
      <w:r w:rsidR="0094350A">
        <w:rPr>
          <w:rFonts w:ascii="Times New Roman" w:hAnsi="Times New Roman" w:cs="Times New Roman"/>
          <w:sz w:val="24"/>
          <w:szCs w:val="24"/>
        </w:rPr>
        <w:t>adverse events and medication review</w:t>
      </w:r>
      <w:r w:rsidRPr="006E0C11">
        <w:rPr>
          <w:rFonts w:ascii="Times New Roman" w:hAnsi="Times New Roman" w:cs="Times New Roman"/>
          <w:sz w:val="24"/>
          <w:szCs w:val="24"/>
        </w:rPr>
        <w:t>, PK blood draw, pregnancy test</w:t>
      </w:r>
      <w:r>
        <w:rPr>
          <w:rFonts w:ascii="Times New Roman" w:hAnsi="Times New Roman" w:cs="Times New Roman"/>
          <w:sz w:val="24"/>
          <w:szCs w:val="24"/>
        </w:rPr>
        <w:t xml:space="preserve"> for WOCBP</w:t>
      </w:r>
      <w:r w:rsidRPr="006E0C11">
        <w:rPr>
          <w:rFonts w:ascii="Times New Roman" w:hAnsi="Times New Roman" w:cs="Times New Roman"/>
          <w:sz w:val="24"/>
          <w:szCs w:val="24"/>
        </w:rPr>
        <w:t>, review adherence</w:t>
      </w:r>
      <w:r>
        <w:rPr>
          <w:rFonts w:ascii="Times New Roman" w:hAnsi="Times New Roman" w:cs="Times New Roman"/>
          <w:sz w:val="24"/>
          <w:szCs w:val="24"/>
        </w:rPr>
        <w:t>.</w:t>
      </w:r>
    </w:p>
    <w:p w14:paraId="6289F1AA" w14:textId="77777777" w:rsidR="006E0C11" w:rsidRPr="006E0C11" w:rsidRDefault="006E0C11" w:rsidP="006E0C11">
      <w:pPr>
        <w:pStyle w:val="NoSpacing"/>
        <w:jc w:val="both"/>
        <w:rPr>
          <w:rFonts w:ascii="Times New Roman" w:hAnsi="Times New Roman" w:cs="Times New Roman"/>
          <w:sz w:val="24"/>
          <w:szCs w:val="24"/>
        </w:rPr>
      </w:pPr>
    </w:p>
    <w:p w14:paraId="6108FF64" w14:textId="77777777" w:rsidR="006E0C11" w:rsidRPr="006E0C11" w:rsidRDefault="006E0C11" w:rsidP="006E0C11">
      <w:pPr>
        <w:pStyle w:val="NoSpacing"/>
        <w:jc w:val="both"/>
        <w:rPr>
          <w:rFonts w:ascii="Times New Roman" w:hAnsi="Times New Roman" w:cs="Times New Roman"/>
          <w:b/>
          <w:sz w:val="24"/>
          <w:szCs w:val="24"/>
        </w:rPr>
      </w:pPr>
      <w:r w:rsidRPr="006E0C11">
        <w:rPr>
          <w:rFonts w:ascii="Times New Roman" w:hAnsi="Times New Roman" w:cs="Times New Roman"/>
          <w:b/>
          <w:sz w:val="24"/>
          <w:szCs w:val="24"/>
        </w:rPr>
        <w:t>Follow-up call – Day 33 (15 minutes)</w:t>
      </w:r>
    </w:p>
    <w:p w14:paraId="313A8A1A" w14:textId="1AAE07A2" w:rsidR="006E0C11" w:rsidRPr="006E0C11" w:rsidRDefault="00167B05" w:rsidP="006E0C11">
      <w:pPr>
        <w:pStyle w:val="NoSpacing"/>
        <w:jc w:val="both"/>
        <w:rPr>
          <w:rFonts w:ascii="Times New Roman" w:hAnsi="Times New Roman" w:cs="Times New Roman"/>
          <w:sz w:val="24"/>
          <w:szCs w:val="24"/>
        </w:rPr>
      </w:pPr>
      <w:r>
        <w:rPr>
          <w:rFonts w:ascii="Times New Roman" w:hAnsi="Times New Roman" w:cs="Times New Roman"/>
          <w:sz w:val="24"/>
          <w:szCs w:val="24"/>
        </w:rPr>
        <w:t>Adverse events</w:t>
      </w:r>
      <w:r w:rsidR="0094350A">
        <w:rPr>
          <w:rFonts w:ascii="Times New Roman" w:hAnsi="Times New Roman" w:cs="Times New Roman"/>
          <w:sz w:val="24"/>
          <w:szCs w:val="24"/>
        </w:rPr>
        <w:t>, medication,</w:t>
      </w:r>
      <w:r>
        <w:rPr>
          <w:rFonts w:ascii="Times New Roman" w:hAnsi="Times New Roman" w:cs="Times New Roman"/>
          <w:sz w:val="24"/>
          <w:szCs w:val="24"/>
        </w:rPr>
        <w:t xml:space="preserve"> and</w:t>
      </w:r>
      <w:r w:rsidR="006E0C11" w:rsidRPr="006E0C11">
        <w:rPr>
          <w:rFonts w:ascii="Times New Roman" w:hAnsi="Times New Roman" w:cs="Times New Roman"/>
          <w:sz w:val="24"/>
          <w:szCs w:val="24"/>
        </w:rPr>
        <w:t xml:space="preserve"> adherence</w:t>
      </w:r>
      <w:r>
        <w:rPr>
          <w:rFonts w:ascii="Times New Roman" w:hAnsi="Times New Roman" w:cs="Times New Roman"/>
          <w:sz w:val="24"/>
          <w:szCs w:val="24"/>
        </w:rPr>
        <w:t xml:space="preserve"> review.</w:t>
      </w:r>
    </w:p>
    <w:p w14:paraId="2DD0DB11" w14:textId="77777777" w:rsidR="006E0C11" w:rsidRPr="006E0C11" w:rsidRDefault="006E0C11" w:rsidP="006E0C11">
      <w:pPr>
        <w:pStyle w:val="NoSpacing"/>
        <w:jc w:val="both"/>
        <w:rPr>
          <w:rFonts w:ascii="Times New Roman" w:hAnsi="Times New Roman" w:cs="Times New Roman"/>
          <w:sz w:val="24"/>
          <w:szCs w:val="24"/>
        </w:rPr>
      </w:pPr>
    </w:p>
    <w:p w14:paraId="4070E9ED" w14:textId="77777777" w:rsidR="006E0C11" w:rsidRPr="006E0C11" w:rsidRDefault="006E0C11" w:rsidP="006E0C11">
      <w:pPr>
        <w:pStyle w:val="NoSpacing"/>
        <w:jc w:val="both"/>
        <w:rPr>
          <w:rFonts w:ascii="Times New Roman" w:hAnsi="Times New Roman" w:cs="Times New Roman"/>
          <w:b/>
          <w:sz w:val="24"/>
          <w:szCs w:val="24"/>
        </w:rPr>
      </w:pPr>
      <w:r w:rsidRPr="006E0C11">
        <w:rPr>
          <w:rFonts w:ascii="Times New Roman" w:hAnsi="Times New Roman" w:cs="Times New Roman"/>
          <w:b/>
          <w:sz w:val="24"/>
          <w:szCs w:val="24"/>
        </w:rPr>
        <w:t>Visit 6 - Day 40 (60 minutes)</w:t>
      </w:r>
    </w:p>
    <w:p w14:paraId="74AFA932" w14:textId="6DE04BE5" w:rsidR="006E0C11" w:rsidRDefault="00167B05" w:rsidP="006E0C11">
      <w:pPr>
        <w:pStyle w:val="NoSpacing"/>
        <w:jc w:val="both"/>
        <w:rPr>
          <w:rFonts w:ascii="Times New Roman" w:hAnsi="Times New Roman" w:cs="Times New Roman"/>
          <w:sz w:val="24"/>
          <w:szCs w:val="24"/>
        </w:rPr>
      </w:pPr>
      <w:r>
        <w:rPr>
          <w:rFonts w:ascii="Times New Roman" w:hAnsi="Times New Roman" w:cs="Times New Roman"/>
          <w:sz w:val="24"/>
          <w:szCs w:val="24"/>
        </w:rPr>
        <w:t xml:space="preserve">Vital signs, physical exam, </w:t>
      </w:r>
      <w:r w:rsidR="0094350A">
        <w:rPr>
          <w:rFonts w:ascii="Times New Roman" w:hAnsi="Times New Roman" w:cs="Times New Roman"/>
          <w:sz w:val="24"/>
          <w:szCs w:val="24"/>
        </w:rPr>
        <w:t>adverse events and medication review</w:t>
      </w:r>
      <w:r w:rsidRPr="006E0C11">
        <w:rPr>
          <w:rFonts w:ascii="Times New Roman" w:hAnsi="Times New Roman" w:cs="Times New Roman"/>
          <w:sz w:val="24"/>
          <w:szCs w:val="24"/>
        </w:rPr>
        <w:t>, PK blood draw, pregnancy test</w:t>
      </w:r>
      <w:r>
        <w:rPr>
          <w:rFonts w:ascii="Times New Roman" w:hAnsi="Times New Roman" w:cs="Times New Roman"/>
          <w:sz w:val="24"/>
          <w:szCs w:val="24"/>
        </w:rPr>
        <w:t xml:space="preserve"> for WOCBP, </w:t>
      </w:r>
      <w:r w:rsidRPr="006E0C11">
        <w:rPr>
          <w:rFonts w:ascii="Times New Roman" w:hAnsi="Times New Roman" w:cs="Times New Roman"/>
          <w:sz w:val="24"/>
          <w:szCs w:val="24"/>
        </w:rPr>
        <w:t>CBC/CMP safety labs</w:t>
      </w:r>
      <w:r>
        <w:rPr>
          <w:rFonts w:ascii="Times New Roman" w:hAnsi="Times New Roman" w:cs="Times New Roman"/>
          <w:sz w:val="24"/>
          <w:szCs w:val="24"/>
        </w:rPr>
        <w:t>.</w:t>
      </w:r>
    </w:p>
    <w:p w14:paraId="059E2282" w14:textId="77777777" w:rsidR="00167B05" w:rsidRPr="006E0C11" w:rsidRDefault="00167B05" w:rsidP="006E0C11">
      <w:pPr>
        <w:pStyle w:val="NoSpacing"/>
        <w:jc w:val="both"/>
        <w:rPr>
          <w:rFonts w:ascii="Times New Roman" w:hAnsi="Times New Roman" w:cs="Times New Roman"/>
          <w:sz w:val="24"/>
          <w:szCs w:val="24"/>
        </w:rPr>
      </w:pPr>
    </w:p>
    <w:p w14:paraId="11FAC6AC" w14:textId="77777777" w:rsidR="006E0C11" w:rsidRPr="006E0C11" w:rsidRDefault="006E0C11" w:rsidP="006E0C11">
      <w:pPr>
        <w:pStyle w:val="NoSpacing"/>
        <w:jc w:val="both"/>
        <w:rPr>
          <w:rFonts w:ascii="Times New Roman" w:hAnsi="Times New Roman" w:cs="Times New Roman"/>
          <w:b/>
          <w:sz w:val="24"/>
          <w:szCs w:val="24"/>
        </w:rPr>
      </w:pPr>
      <w:r w:rsidRPr="006E0C11">
        <w:rPr>
          <w:rFonts w:ascii="Times New Roman" w:hAnsi="Times New Roman" w:cs="Times New Roman"/>
          <w:b/>
          <w:sz w:val="24"/>
          <w:szCs w:val="24"/>
        </w:rPr>
        <w:t>Visit 7- Day 50 (15 minutes)</w:t>
      </w:r>
    </w:p>
    <w:p w14:paraId="5CA4705A" w14:textId="47D88105" w:rsidR="006E0C11" w:rsidRPr="006E0C11" w:rsidRDefault="006E0C11" w:rsidP="006E0C11">
      <w:pPr>
        <w:pStyle w:val="NoSpacing"/>
        <w:jc w:val="both"/>
        <w:rPr>
          <w:rFonts w:ascii="Times New Roman" w:hAnsi="Times New Roman" w:cs="Times New Roman"/>
          <w:sz w:val="24"/>
          <w:szCs w:val="24"/>
        </w:rPr>
      </w:pPr>
      <w:r w:rsidRPr="006E0C11">
        <w:rPr>
          <w:rFonts w:ascii="Times New Roman" w:hAnsi="Times New Roman" w:cs="Times New Roman"/>
          <w:sz w:val="24"/>
          <w:szCs w:val="24"/>
        </w:rPr>
        <w:t xml:space="preserve">PK blood draw, </w:t>
      </w:r>
      <w:r w:rsidR="0094350A">
        <w:rPr>
          <w:rFonts w:ascii="Times New Roman" w:hAnsi="Times New Roman" w:cs="Times New Roman"/>
          <w:sz w:val="24"/>
          <w:szCs w:val="24"/>
        </w:rPr>
        <w:t>adverse events and medication review</w:t>
      </w:r>
      <w:r w:rsidRPr="006E0C11">
        <w:rPr>
          <w:rFonts w:ascii="Times New Roman" w:hAnsi="Times New Roman" w:cs="Times New Roman"/>
          <w:sz w:val="24"/>
          <w:szCs w:val="24"/>
        </w:rPr>
        <w:t>, review overall adherence/need for cholestyramine</w:t>
      </w:r>
      <w:r w:rsidR="00167B05">
        <w:rPr>
          <w:rFonts w:ascii="Times New Roman" w:hAnsi="Times New Roman" w:cs="Times New Roman"/>
          <w:sz w:val="24"/>
          <w:szCs w:val="24"/>
        </w:rPr>
        <w:t>.</w:t>
      </w:r>
    </w:p>
    <w:p w14:paraId="2B770B8E" w14:textId="77777777" w:rsidR="006E0C11" w:rsidRPr="006E0C11" w:rsidRDefault="006E0C11" w:rsidP="006E0C11">
      <w:pPr>
        <w:pStyle w:val="NoSpacing"/>
        <w:jc w:val="both"/>
        <w:rPr>
          <w:rFonts w:ascii="Times New Roman" w:hAnsi="Times New Roman" w:cs="Times New Roman"/>
          <w:sz w:val="24"/>
          <w:szCs w:val="24"/>
        </w:rPr>
      </w:pPr>
    </w:p>
    <w:p w14:paraId="11031EC8" w14:textId="77777777" w:rsidR="006E0C11" w:rsidRPr="006E0C11" w:rsidRDefault="006E0C11" w:rsidP="006E0C11">
      <w:pPr>
        <w:pStyle w:val="NoSpacing"/>
        <w:rPr>
          <w:rFonts w:ascii="Times New Roman" w:hAnsi="Times New Roman" w:cs="Times New Roman"/>
          <w:b/>
          <w:bCs/>
          <w:sz w:val="24"/>
          <w:szCs w:val="24"/>
        </w:rPr>
      </w:pPr>
      <w:r w:rsidRPr="006E0C11">
        <w:rPr>
          <w:rFonts w:ascii="Times New Roman" w:hAnsi="Times New Roman" w:cs="Times New Roman"/>
          <w:b/>
          <w:bCs/>
          <w:sz w:val="24"/>
          <w:szCs w:val="24"/>
        </w:rPr>
        <w:t>Unscheduled visits</w:t>
      </w:r>
    </w:p>
    <w:p w14:paraId="587F61DC" w14:textId="7D248FF4" w:rsidR="006E0C11" w:rsidRPr="006E0C11" w:rsidRDefault="006E0C11" w:rsidP="006E0C11">
      <w:pPr>
        <w:pStyle w:val="NoSpacing"/>
        <w:rPr>
          <w:rFonts w:ascii="Times New Roman" w:hAnsi="Times New Roman" w:cs="Times New Roman"/>
          <w:sz w:val="24"/>
          <w:szCs w:val="24"/>
        </w:rPr>
      </w:pPr>
      <w:r w:rsidRPr="006E0C11">
        <w:rPr>
          <w:rFonts w:ascii="Times New Roman" w:hAnsi="Times New Roman" w:cs="Times New Roman"/>
          <w:sz w:val="24"/>
          <w:szCs w:val="24"/>
        </w:rPr>
        <w:t>Unscheduled visits will be arranged if the subject reports an adverse event that requires medical investigation.</w:t>
      </w:r>
    </w:p>
    <w:p w14:paraId="5CF1BBAA" w14:textId="55C97CFD" w:rsidR="0097059C" w:rsidRPr="008E3AA8" w:rsidRDefault="00451052" w:rsidP="00877FD7">
      <w:pPr>
        <w:pStyle w:val="BlockText"/>
        <w:ind w:left="0" w:right="0"/>
        <w:rPr>
          <w:i w:val="0"/>
        </w:rPr>
      </w:pPr>
      <w:r>
        <w:rPr>
          <w:i w:val="0"/>
        </w:rPr>
        <w:t xml:space="preserve">6.3 </w:t>
      </w:r>
      <w:r w:rsidR="008E3AA8">
        <w:rPr>
          <w:i w:val="0"/>
        </w:rPr>
        <w:t>N/A – there is no standard of care for healthy volunteers.</w:t>
      </w:r>
    </w:p>
    <w:p w14:paraId="40B957A7" w14:textId="753B4898" w:rsidR="00297491" w:rsidRPr="0094615B" w:rsidRDefault="00451052" w:rsidP="00877FD7">
      <w:pPr>
        <w:pStyle w:val="BlockText"/>
        <w:spacing w:after="0"/>
        <w:ind w:left="0" w:right="0"/>
        <w:rPr>
          <w:i w:val="0"/>
        </w:rPr>
      </w:pPr>
      <w:r>
        <w:rPr>
          <w:i w:val="0"/>
        </w:rPr>
        <w:t xml:space="preserve">6.4 </w:t>
      </w:r>
      <w:r w:rsidR="00DD63FE">
        <w:rPr>
          <w:i w:val="0"/>
        </w:rPr>
        <w:t>P</w:t>
      </w:r>
      <w:r w:rsidR="00DD63FE" w:rsidRPr="00DD63FE">
        <w:rPr>
          <w:i w:val="0"/>
        </w:rPr>
        <w:t>atients will be scree</w:t>
      </w:r>
      <w:r w:rsidR="00DD63FE">
        <w:rPr>
          <w:i w:val="0"/>
        </w:rPr>
        <w:t>ned for any contraindications (p</w:t>
      </w:r>
      <w:r w:rsidR="00DD63FE" w:rsidRPr="00DD63FE">
        <w:rPr>
          <w:i w:val="0"/>
        </w:rPr>
        <w:t>hysical exam and lab work) to taking the included medications and evaluated per protocol inclusion/exclusion criteria.</w:t>
      </w:r>
      <w:r w:rsidR="00DD63FE">
        <w:rPr>
          <w:i w:val="0"/>
        </w:rPr>
        <w:t xml:space="preserve"> </w:t>
      </w:r>
      <w:r w:rsidR="00DD63FE" w:rsidRPr="00DD63FE">
        <w:rPr>
          <w:i w:val="0"/>
        </w:rPr>
        <w:t xml:space="preserve">The risk to subjects in this trial will </w:t>
      </w:r>
      <w:r w:rsidR="00DD63FE">
        <w:rPr>
          <w:i w:val="0"/>
        </w:rPr>
        <w:t xml:space="preserve">be minimized by compliance with </w:t>
      </w:r>
      <w:r w:rsidR="00DD63FE" w:rsidRPr="00DD63FE">
        <w:rPr>
          <w:i w:val="0"/>
        </w:rPr>
        <w:t>inclusion/exclusion</w:t>
      </w:r>
      <w:r w:rsidR="00DD63FE">
        <w:rPr>
          <w:i w:val="0"/>
        </w:rPr>
        <w:t xml:space="preserve"> </w:t>
      </w:r>
      <w:r w:rsidR="00DD63FE" w:rsidRPr="00DD63FE">
        <w:rPr>
          <w:i w:val="0"/>
        </w:rPr>
        <w:t>criteria, close clinical monitoring, avoidance of prohibited treatments</w:t>
      </w:r>
      <w:r w:rsidR="00DD63FE">
        <w:rPr>
          <w:i w:val="0"/>
        </w:rPr>
        <w:t>,</w:t>
      </w:r>
      <w:r w:rsidR="00DD63FE" w:rsidRPr="00DD63FE">
        <w:rPr>
          <w:i w:val="0"/>
        </w:rPr>
        <w:t xml:space="preserve"> and adherence to</w:t>
      </w:r>
      <w:r w:rsidR="00DD63FE">
        <w:rPr>
          <w:i w:val="0"/>
        </w:rPr>
        <w:t xml:space="preserve"> </w:t>
      </w:r>
      <w:r w:rsidR="00DD63FE" w:rsidRPr="00DD63FE">
        <w:rPr>
          <w:i w:val="0"/>
        </w:rPr>
        <w:t>investigator guidance regarding specific safety areas.</w:t>
      </w:r>
      <w:r w:rsidR="00DD63FE">
        <w:rPr>
          <w:i w:val="0"/>
        </w:rPr>
        <w:t xml:space="preserve"> </w:t>
      </w:r>
      <w:r w:rsidR="00DD63FE" w:rsidRPr="00DD63FE">
        <w:rPr>
          <w:i w:val="0"/>
        </w:rPr>
        <w:t>If during the study, a female patient becomes pregnant or decides to attempt to become pregnant</w:t>
      </w:r>
      <w:r w:rsidR="00DD63FE">
        <w:rPr>
          <w:i w:val="0"/>
        </w:rPr>
        <w:t>,</w:t>
      </w:r>
      <w:r w:rsidR="00DD63FE" w:rsidRPr="00DD63FE">
        <w:rPr>
          <w:i w:val="0"/>
        </w:rPr>
        <w:t xml:space="preserve"> or if a male patient decides to attempt to father a child, then she or he must stop the study medication and undergo the rapid elimination procedure.</w:t>
      </w:r>
      <w:r w:rsidR="00DD63FE">
        <w:rPr>
          <w:i w:val="0"/>
        </w:rPr>
        <w:t xml:space="preserve"> </w:t>
      </w:r>
      <w:r w:rsidR="00DD63FE" w:rsidRPr="00DD63FE">
        <w:rPr>
          <w:i w:val="0"/>
        </w:rPr>
        <w:t>Fem</w:t>
      </w:r>
      <w:r w:rsidR="00DD63FE">
        <w:rPr>
          <w:i w:val="0"/>
        </w:rPr>
        <w:t>ale patients must not be breast</w:t>
      </w:r>
      <w:r w:rsidR="00DD63FE" w:rsidRPr="00DD63FE">
        <w:rPr>
          <w:i w:val="0"/>
        </w:rPr>
        <w:t xml:space="preserve">feeding or pregnant (as confirmed by </w:t>
      </w:r>
      <w:r w:rsidR="005561F9">
        <w:rPr>
          <w:i w:val="0"/>
        </w:rPr>
        <w:t>serum</w:t>
      </w:r>
      <w:r w:rsidR="00DD63FE" w:rsidRPr="00DD63FE">
        <w:rPr>
          <w:i w:val="0"/>
        </w:rPr>
        <w:t xml:space="preserve"> pregnancy test) at the time of study entry and must agree to undergo </w:t>
      </w:r>
      <w:r w:rsidR="0094615B">
        <w:rPr>
          <w:i w:val="0"/>
        </w:rPr>
        <w:t>serum</w:t>
      </w:r>
      <w:r w:rsidR="00DD63FE" w:rsidRPr="00DD63FE">
        <w:rPr>
          <w:i w:val="0"/>
        </w:rPr>
        <w:t xml:space="preserve"> pregnancy testing throughout the study at each clinic visit. In addition, </w:t>
      </w:r>
      <w:r w:rsidR="0094615B">
        <w:rPr>
          <w:i w:val="0"/>
        </w:rPr>
        <w:t xml:space="preserve">a serum </w:t>
      </w:r>
      <w:r w:rsidR="00DD63FE" w:rsidRPr="00DD63FE">
        <w:rPr>
          <w:i w:val="0"/>
        </w:rPr>
        <w:t>pregnancy test</w:t>
      </w:r>
      <w:r w:rsidR="00857669">
        <w:rPr>
          <w:i w:val="0"/>
        </w:rPr>
        <w:t>ing</w:t>
      </w:r>
      <w:r w:rsidR="00DD63FE" w:rsidRPr="00DD63FE">
        <w:rPr>
          <w:i w:val="0"/>
        </w:rPr>
        <w:t xml:space="preserve"> should be conducted in case of an unexpected delay of menorrhea.</w:t>
      </w:r>
    </w:p>
    <w:p w14:paraId="3BB1BEFD" w14:textId="3E720DB3" w:rsidR="00451052" w:rsidRPr="008E3AA8" w:rsidRDefault="00451052" w:rsidP="008E3AA8">
      <w:pPr>
        <w:pStyle w:val="List"/>
        <w:numPr>
          <w:ilvl w:val="0"/>
          <w:numId w:val="0"/>
        </w:numPr>
        <w:spacing w:before="120" w:beforeAutospacing="0" w:after="120" w:afterAutospacing="0"/>
        <w:ind w:right="0"/>
        <w:rPr>
          <w:i w:val="0"/>
        </w:rPr>
      </w:pPr>
      <w:r>
        <w:rPr>
          <w:i w:val="0"/>
        </w:rPr>
        <w:t xml:space="preserve">6.5 </w:t>
      </w:r>
      <w:r w:rsidR="008E3AA8">
        <w:rPr>
          <w:i w:val="0"/>
        </w:rPr>
        <w:t>N/A</w:t>
      </w:r>
    </w:p>
    <w:p w14:paraId="276922F3" w14:textId="38B8C7FD" w:rsidR="00451052" w:rsidRDefault="00451052">
      <w:pPr>
        <w:pStyle w:val="List"/>
        <w:numPr>
          <w:ilvl w:val="0"/>
          <w:numId w:val="0"/>
        </w:numPr>
        <w:spacing w:before="120" w:beforeAutospacing="0" w:after="120" w:afterAutospacing="0"/>
        <w:ind w:right="0"/>
      </w:pPr>
      <w:r>
        <w:rPr>
          <w:i w:val="0"/>
        </w:rPr>
        <w:t>6.6</w:t>
      </w:r>
      <w:r w:rsidR="0035055E">
        <w:rPr>
          <w:i w:val="0"/>
        </w:rPr>
        <w:t xml:space="preserve"> Blood samples will be collected via venipuncture standard practices. The samples will be immediately sent to Quest Diagnostics for processing. The samples will be stored at Quest until the results are reported to the study team. Samples will not be stored for future research and will not undergo genetic testing. The samples will be used to measure safety with CBC and CMP, </w:t>
      </w:r>
      <w:r w:rsidR="005561F9">
        <w:rPr>
          <w:i w:val="0"/>
        </w:rPr>
        <w:t xml:space="preserve">pregnancy testing, </w:t>
      </w:r>
      <w:r w:rsidR="00FE4792">
        <w:rPr>
          <w:i w:val="0"/>
        </w:rPr>
        <w:t xml:space="preserve">follicle </w:t>
      </w:r>
      <w:r w:rsidR="0037708C">
        <w:rPr>
          <w:i w:val="0"/>
        </w:rPr>
        <w:t xml:space="preserve">FSH, </w:t>
      </w:r>
      <w:r w:rsidR="0035055E">
        <w:rPr>
          <w:i w:val="0"/>
        </w:rPr>
        <w:t xml:space="preserve">and for PK levels for analysis of elimination. </w:t>
      </w:r>
    </w:p>
    <w:p w14:paraId="16BC4C8B" w14:textId="144922E9" w:rsidR="00451052" w:rsidRPr="00451052" w:rsidRDefault="00451052" w:rsidP="00451052">
      <w:pPr>
        <w:pStyle w:val="List"/>
        <w:numPr>
          <w:ilvl w:val="0"/>
          <w:numId w:val="0"/>
        </w:numPr>
        <w:spacing w:before="120" w:beforeAutospacing="0" w:after="120" w:afterAutospacing="0"/>
        <w:ind w:right="0"/>
        <w:rPr>
          <w:i w:val="0"/>
        </w:rPr>
      </w:pPr>
      <w:r>
        <w:rPr>
          <w:i w:val="0"/>
        </w:rPr>
        <w:t>6.7</w:t>
      </w:r>
      <w:r w:rsidR="007C7A21">
        <w:rPr>
          <w:i w:val="0"/>
        </w:rPr>
        <w:t xml:space="preserve"> </w:t>
      </w:r>
      <w:r w:rsidR="0044052D">
        <w:rPr>
          <w:i w:val="0"/>
        </w:rPr>
        <w:t>N/A</w:t>
      </w:r>
    </w:p>
    <w:p w14:paraId="61AD9C50" w14:textId="31033B74" w:rsidR="00297491" w:rsidRPr="00CA0CB1" w:rsidRDefault="00451052" w:rsidP="00451052">
      <w:pPr>
        <w:pStyle w:val="BlockText"/>
        <w:ind w:left="0" w:right="0"/>
      </w:pPr>
      <w:r>
        <w:rPr>
          <w:i w:val="0"/>
        </w:rPr>
        <w:t xml:space="preserve">6.8 </w:t>
      </w:r>
      <w:r w:rsidR="008E3AA8">
        <w:rPr>
          <w:i w:val="0"/>
        </w:rPr>
        <w:t>N/A</w:t>
      </w:r>
    </w:p>
    <w:p w14:paraId="5C528DB1" w14:textId="77777777" w:rsidR="00297491" w:rsidRPr="00CA0CB1" w:rsidRDefault="00297491" w:rsidP="004A1A96">
      <w:pPr>
        <w:pStyle w:val="Heading1"/>
      </w:pPr>
      <w:bookmarkStart w:id="7" w:name="_Toc18064204"/>
      <w:r w:rsidRPr="00CA0CB1">
        <w:t xml:space="preserve">Data and Specimen </w:t>
      </w:r>
      <w:r w:rsidR="00AF3327">
        <w:t xml:space="preserve">Storage for </w:t>
      </w:r>
      <w:r w:rsidR="00AF3327" w:rsidRPr="00437B13">
        <w:t>Future</w:t>
      </w:r>
      <w:r w:rsidR="00AF3327">
        <w:t xml:space="preserve"> Research</w:t>
      </w:r>
      <w:bookmarkEnd w:id="7"/>
    </w:p>
    <w:p w14:paraId="661296F7" w14:textId="18C98487" w:rsidR="00297491" w:rsidRDefault="00451052" w:rsidP="00451052">
      <w:pPr>
        <w:pStyle w:val="BlockText"/>
        <w:ind w:left="0" w:right="0"/>
      </w:pPr>
      <w:r>
        <w:rPr>
          <w:i w:val="0"/>
        </w:rPr>
        <w:t xml:space="preserve">7.1 </w:t>
      </w:r>
      <w:r w:rsidR="00E13A34">
        <w:rPr>
          <w:i w:val="0"/>
        </w:rPr>
        <w:t>N/A</w:t>
      </w:r>
    </w:p>
    <w:p w14:paraId="72366F7F" w14:textId="51C23B7E" w:rsidR="00297491" w:rsidRPr="00E13A34" w:rsidRDefault="00451052" w:rsidP="00451052">
      <w:pPr>
        <w:pStyle w:val="BlockText"/>
        <w:ind w:left="0" w:right="0"/>
        <w:rPr>
          <w:i w:val="0"/>
        </w:rPr>
      </w:pPr>
      <w:r>
        <w:rPr>
          <w:i w:val="0"/>
        </w:rPr>
        <w:t xml:space="preserve">7.2 </w:t>
      </w:r>
      <w:r w:rsidR="00E13A34">
        <w:rPr>
          <w:i w:val="0"/>
        </w:rPr>
        <w:t>N/A</w:t>
      </w:r>
    </w:p>
    <w:p w14:paraId="2E03226E" w14:textId="494C96EC" w:rsidR="00E13A34" w:rsidRPr="00E13A34" w:rsidRDefault="00451052" w:rsidP="00E13A34">
      <w:pPr>
        <w:pStyle w:val="BlockText"/>
        <w:ind w:left="0" w:right="0"/>
        <w:rPr>
          <w:i w:val="0"/>
        </w:rPr>
      </w:pPr>
      <w:r>
        <w:rPr>
          <w:i w:val="0"/>
        </w:rPr>
        <w:lastRenderedPageBreak/>
        <w:t>7.3</w:t>
      </w:r>
      <w:r w:rsidR="00E13A34" w:rsidRPr="00E13A34">
        <w:rPr>
          <w:i w:val="0"/>
        </w:rPr>
        <w:t xml:space="preserve"> </w:t>
      </w:r>
      <w:r w:rsidR="00E13A34">
        <w:rPr>
          <w:i w:val="0"/>
        </w:rPr>
        <w:t>N/A</w:t>
      </w:r>
    </w:p>
    <w:p w14:paraId="6535436C" w14:textId="77777777" w:rsidR="00297491" w:rsidRPr="00CA0CB1" w:rsidRDefault="00297491" w:rsidP="004A1A96">
      <w:pPr>
        <w:pStyle w:val="Heading1"/>
      </w:pPr>
      <w:bookmarkStart w:id="8" w:name="_Toc18064205"/>
      <w:r w:rsidRPr="00CA0CB1">
        <w:t xml:space="preserve">Sharing of Results with </w:t>
      </w:r>
      <w:r w:rsidRPr="00033F6D">
        <w:t>Subjects</w:t>
      </w:r>
      <w:bookmarkEnd w:id="8"/>
    </w:p>
    <w:p w14:paraId="47686B63" w14:textId="4E42BEFE" w:rsidR="00297491" w:rsidRPr="00393FAF" w:rsidRDefault="00836680" w:rsidP="00836680">
      <w:pPr>
        <w:pStyle w:val="BlockText"/>
        <w:ind w:left="0" w:right="0"/>
      </w:pPr>
      <w:r>
        <w:rPr>
          <w:i w:val="0"/>
        </w:rPr>
        <w:t xml:space="preserve">8.1 </w:t>
      </w:r>
      <w:r w:rsidR="00E13A34">
        <w:rPr>
          <w:i w:val="0"/>
        </w:rPr>
        <w:t>N/A</w:t>
      </w:r>
    </w:p>
    <w:p w14:paraId="3909BB15" w14:textId="766167AC" w:rsidR="00A50E62" w:rsidRDefault="00C336D4" w:rsidP="004A1A96">
      <w:pPr>
        <w:pStyle w:val="Heading1"/>
      </w:pPr>
      <w:bookmarkStart w:id="9" w:name="_Toc18064206"/>
      <w:r w:rsidRPr="00CA0CB1">
        <w:t>Study Timelines</w:t>
      </w:r>
      <w:bookmarkEnd w:id="9"/>
    </w:p>
    <w:p w14:paraId="11D339C8" w14:textId="59AAFF84" w:rsidR="00A50E62" w:rsidRPr="00A50E62" w:rsidRDefault="00836680" w:rsidP="00836680">
      <w:pPr>
        <w:spacing w:before="240" w:after="240"/>
        <w:rPr>
          <w:i/>
        </w:rPr>
      </w:pPr>
      <w:r>
        <w:t xml:space="preserve">9.1 </w:t>
      </w:r>
      <w:r w:rsidR="00A023C8">
        <w:t xml:space="preserve">Subjects will come into the office for 8 visits, and will have 1 phone call visit for a total of 9 hours. Unscheduled visits or a withdrawal visit will be scheduled as needed. </w:t>
      </w:r>
    </w:p>
    <w:p w14:paraId="4BF24297" w14:textId="77777777" w:rsidR="0011551B" w:rsidRPr="00CA0CB1" w:rsidRDefault="0011551B" w:rsidP="004A1A96">
      <w:pPr>
        <w:pStyle w:val="Heading1"/>
        <w:rPr>
          <w:bCs/>
        </w:rPr>
      </w:pPr>
      <w:bookmarkStart w:id="10" w:name="_Toc18064207"/>
      <w:r w:rsidRPr="00A01D71">
        <w:t>Inclusion</w:t>
      </w:r>
      <w:r w:rsidRPr="00CA0CB1">
        <w:t xml:space="preserve"> and Exclusion Criteria</w:t>
      </w:r>
      <w:bookmarkEnd w:id="10"/>
    </w:p>
    <w:p w14:paraId="27F16BEE" w14:textId="09001F6C" w:rsidR="00AD03CE" w:rsidRDefault="00836680" w:rsidP="00836680">
      <w:pPr>
        <w:pStyle w:val="BlockText"/>
        <w:ind w:left="0" w:right="0"/>
      </w:pPr>
      <w:r>
        <w:rPr>
          <w:i w:val="0"/>
        </w:rPr>
        <w:t xml:space="preserve">10.1 </w:t>
      </w:r>
      <w:r w:rsidR="009821BE">
        <w:rPr>
          <w:i w:val="0"/>
        </w:rPr>
        <w:t>Subjects will be pre</w:t>
      </w:r>
      <w:r w:rsidR="00D901F7">
        <w:rPr>
          <w:i w:val="0"/>
        </w:rPr>
        <w:t xml:space="preserve">screened prior to coming in for the screening/baseline visit. </w:t>
      </w:r>
      <w:r w:rsidR="00FB0CE4">
        <w:rPr>
          <w:i w:val="0"/>
        </w:rPr>
        <w:t>After consent, subjects will complete a medical history questionnaire</w:t>
      </w:r>
      <w:r w:rsidR="00621908">
        <w:rPr>
          <w:i w:val="0"/>
        </w:rPr>
        <w:t xml:space="preserve"> and </w:t>
      </w:r>
      <w:r w:rsidR="00FB0CE4">
        <w:rPr>
          <w:i w:val="0"/>
        </w:rPr>
        <w:t>vital signs</w:t>
      </w:r>
      <w:r w:rsidR="00621908">
        <w:rPr>
          <w:i w:val="0"/>
        </w:rPr>
        <w:t xml:space="preserve">, a </w:t>
      </w:r>
      <w:r w:rsidR="0094615B">
        <w:rPr>
          <w:i w:val="0"/>
        </w:rPr>
        <w:t>serum</w:t>
      </w:r>
      <w:r w:rsidR="00621908">
        <w:rPr>
          <w:i w:val="0"/>
        </w:rPr>
        <w:t xml:space="preserve"> pregnancy test for WOCBP, and a blood sample</w:t>
      </w:r>
      <w:r w:rsidR="00FB0CE4">
        <w:rPr>
          <w:i w:val="0"/>
        </w:rPr>
        <w:t xml:space="preserve"> will be taken</w:t>
      </w:r>
      <w:r w:rsidR="00621908">
        <w:rPr>
          <w:i w:val="0"/>
        </w:rPr>
        <w:t xml:space="preserve"> to confirm eligibility</w:t>
      </w:r>
      <w:r w:rsidR="00FB0CE4">
        <w:rPr>
          <w:i w:val="0"/>
        </w:rPr>
        <w:t xml:space="preserve">. </w:t>
      </w:r>
    </w:p>
    <w:p w14:paraId="2C2D582B" w14:textId="1639E52E" w:rsidR="0073262F" w:rsidRDefault="00836680" w:rsidP="00836680">
      <w:pPr>
        <w:pStyle w:val="BlockText"/>
        <w:ind w:left="0" w:right="0"/>
        <w:rPr>
          <w:i w:val="0"/>
          <w:color w:val="000000" w:themeColor="text1"/>
        </w:rPr>
      </w:pPr>
      <w:r>
        <w:rPr>
          <w:i w:val="0"/>
          <w:color w:val="000000" w:themeColor="text1"/>
        </w:rPr>
        <w:t xml:space="preserve">10.2 </w:t>
      </w:r>
      <w:r w:rsidR="00F26C3C">
        <w:rPr>
          <w:i w:val="0"/>
          <w:color w:val="000000" w:themeColor="text1"/>
        </w:rPr>
        <w:t xml:space="preserve">Inclusion: </w:t>
      </w:r>
    </w:p>
    <w:p w14:paraId="5DFA94E7" w14:textId="1145DC88" w:rsidR="00F26C3C" w:rsidRPr="0071718D" w:rsidRDefault="00F26C3C" w:rsidP="00F26C3C">
      <w:pPr>
        <w:pStyle w:val="ListParagraph"/>
        <w:numPr>
          <w:ilvl w:val="6"/>
          <w:numId w:val="72"/>
        </w:numPr>
      </w:pPr>
      <w:r>
        <w:t>Participants</w:t>
      </w:r>
      <w:r w:rsidRPr="0071718D">
        <w:t xml:space="preserve"> having provided informed consent with signature on informed consent form: the informed consent process should be complete with full discussion of all requirements and possible risks.</w:t>
      </w:r>
    </w:p>
    <w:p w14:paraId="712F4F3C" w14:textId="7E435F58" w:rsidR="00F26C3C" w:rsidRPr="0071718D" w:rsidRDefault="00F26C3C" w:rsidP="00F26C3C">
      <w:pPr>
        <w:pStyle w:val="ListParagraph"/>
        <w:numPr>
          <w:ilvl w:val="6"/>
          <w:numId w:val="72"/>
        </w:numPr>
      </w:pPr>
      <w:r>
        <w:t>Healthy volunteer (</w:t>
      </w:r>
      <w:r w:rsidRPr="0071718D">
        <w:t xml:space="preserve">defined as free of concomitant medications and use of either treatment, as deemed by the </w:t>
      </w:r>
      <w:r w:rsidR="005561F9">
        <w:t xml:space="preserve">Principal </w:t>
      </w:r>
      <w:r w:rsidRPr="0071718D">
        <w:t>Investigator, is not contraindicated with any past med</w:t>
      </w:r>
      <w:r>
        <w:t>ical history of the participant)</w:t>
      </w:r>
    </w:p>
    <w:p w14:paraId="3EFFB186" w14:textId="71F11A65" w:rsidR="00F26C3C" w:rsidRPr="0071718D" w:rsidRDefault="00F26C3C" w:rsidP="00F26C3C">
      <w:pPr>
        <w:pStyle w:val="ListParagraph"/>
        <w:numPr>
          <w:ilvl w:val="6"/>
          <w:numId w:val="72"/>
        </w:numPr>
      </w:pPr>
      <w:r w:rsidRPr="0071718D">
        <w:t>Aged 18–45 years, inclusive</w:t>
      </w:r>
    </w:p>
    <w:p w14:paraId="25362ADA" w14:textId="6DB45B43" w:rsidR="00F26C3C" w:rsidRPr="0071718D" w:rsidRDefault="00F26C3C" w:rsidP="00F26C3C">
      <w:pPr>
        <w:pStyle w:val="ListParagraph"/>
        <w:numPr>
          <w:ilvl w:val="6"/>
          <w:numId w:val="72"/>
        </w:numPr>
      </w:pPr>
      <w:r w:rsidRPr="0071718D">
        <w:t>Body Mass Index of 18–29 kg/m2 (body weight of 40–85 kg for women and 50–95 kg for men)</w:t>
      </w:r>
    </w:p>
    <w:p w14:paraId="54FF062B" w14:textId="14615D8D" w:rsidR="0073262F" w:rsidRDefault="0073262F" w:rsidP="00836680">
      <w:pPr>
        <w:pStyle w:val="BlockText"/>
        <w:ind w:left="0" w:right="0"/>
        <w:rPr>
          <w:i w:val="0"/>
          <w:color w:val="000000" w:themeColor="text1"/>
        </w:rPr>
      </w:pPr>
      <w:r w:rsidRPr="00877FD7">
        <w:rPr>
          <w:i w:val="0"/>
          <w:color w:val="000000" w:themeColor="text1"/>
        </w:rPr>
        <w:t>10.3</w:t>
      </w:r>
      <w:r>
        <w:rPr>
          <w:color w:val="000000" w:themeColor="text1"/>
        </w:rPr>
        <w:t xml:space="preserve"> </w:t>
      </w:r>
      <w:r w:rsidR="00F26C3C">
        <w:rPr>
          <w:i w:val="0"/>
          <w:color w:val="000000" w:themeColor="text1"/>
        </w:rPr>
        <w:t>Exclusion:</w:t>
      </w:r>
    </w:p>
    <w:p w14:paraId="611D9832" w14:textId="3D34D977" w:rsidR="00F26C3C" w:rsidRPr="0071718D" w:rsidRDefault="00F26C3C" w:rsidP="00F26C3C">
      <w:pPr>
        <w:pStyle w:val="ListParagraph"/>
        <w:numPr>
          <w:ilvl w:val="0"/>
          <w:numId w:val="70"/>
        </w:numPr>
      </w:pPr>
      <w:r w:rsidRPr="0071718D">
        <w:t xml:space="preserve">Current smoker or past history as smoker. </w:t>
      </w:r>
    </w:p>
    <w:p w14:paraId="47649F83" w14:textId="68BE3845" w:rsidR="00F26C3C" w:rsidRPr="0071718D" w:rsidRDefault="00F26C3C" w:rsidP="00F26C3C">
      <w:pPr>
        <w:pStyle w:val="ListParagraph"/>
        <w:numPr>
          <w:ilvl w:val="0"/>
          <w:numId w:val="70"/>
        </w:numPr>
      </w:pPr>
      <w:r w:rsidRPr="0071718D">
        <w:t xml:space="preserve">Unable to provide informed consent to participate in the study Such as a mental condition rendering the </w:t>
      </w:r>
      <w:r w:rsidRPr="00F26C3C">
        <w:rPr>
          <w:color w:val="000000"/>
        </w:rPr>
        <w:t>participant</w:t>
      </w:r>
      <w:r w:rsidRPr="0071718D">
        <w:t xml:space="preserve"> unable to understand the nature, scope, and</w:t>
      </w:r>
      <w:r>
        <w:t xml:space="preserve"> </w:t>
      </w:r>
      <w:r w:rsidRPr="0071718D">
        <w:t>possible consequences of the study</w:t>
      </w:r>
    </w:p>
    <w:p w14:paraId="7A484D43" w14:textId="3266F2B6" w:rsidR="00F26C3C" w:rsidRPr="0071718D" w:rsidRDefault="00F26C3C" w:rsidP="00F26C3C">
      <w:pPr>
        <w:pStyle w:val="ListParagraph"/>
        <w:numPr>
          <w:ilvl w:val="0"/>
          <w:numId w:val="70"/>
        </w:numPr>
      </w:pPr>
      <w:r w:rsidRPr="00F26C3C">
        <w:rPr>
          <w:color w:val="000000"/>
        </w:rPr>
        <w:t>Participant</w:t>
      </w:r>
      <w:r w:rsidRPr="0071718D">
        <w:t xml:space="preserve"> unlikely to comply with protocol as determined by Investigator</w:t>
      </w:r>
    </w:p>
    <w:p w14:paraId="7B941B8F" w14:textId="6B9DA074" w:rsidR="00F26C3C" w:rsidRPr="0071718D" w:rsidRDefault="00F26C3C" w:rsidP="00F26C3C">
      <w:pPr>
        <w:pStyle w:val="ListParagraph"/>
        <w:numPr>
          <w:ilvl w:val="0"/>
          <w:numId w:val="70"/>
        </w:numPr>
      </w:pPr>
      <w:r w:rsidRPr="0071718D">
        <w:t>Clinically relevant cardiovascular, hepatic, neurological, endocrine, or other major</w:t>
      </w:r>
      <w:r>
        <w:t xml:space="preserve"> </w:t>
      </w:r>
      <w:r w:rsidRPr="0071718D">
        <w:t>systemic disease making implementation of the protocol or interpretation of the study</w:t>
      </w:r>
      <w:r>
        <w:t xml:space="preserve"> </w:t>
      </w:r>
      <w:r w:rsidRPr="0071718D">
        <w:t xml:space="preserve">results difficult or that would put the </w:t>
      </w:r>
      <w:r w:rsidRPr="00F26C3C">
        <w:rPr>
          <w:color w:val="000000"/>
        </w:rPr>
        <w:t>participant</w:t>
      </w:r>
      <w:r w:rsidRPr="0071718D">
        <w:t xml:space="preserve"> at risk by participating in the study</w:t>
      </w:r>
    </w:p>
    <w:p w14:paraId="7BF24850" w14:textId="406DD68F" w:rsidR="00F26C3C" w:rsidRPr="0071718D" w:rsidRDefault="00F26C3C" w:rsidP="00F26C3C">
      <w:pPr>
        <w:pStyle w:val="ListParagraph"/>
        <w:numPr>
          <w:ilvl w:val="0"/>
          <w:numId w:val="70"/>
        </w:numPr>
      </w:pPr>
      <w:r w:rsidRPr="0071718D">
        <w:t>Persistent significant or severe infection, either acute or chronic</w:t>
      </w:r>
    </w:p>
    <w:p w14:paraId="18CD1F93" w14:textId="43395819" w:rsidR="00F26C3C" w:rsidRPr="0071718D" w:rsidRDefault="00F26C3C" w:rsidP="00F26C3C">
      <w:pPr>
        <w:pStyle w:val="ListParagraph"/>
        <w:numPr>
          <w:ilvl w:val="0"/>
          <w:numId w:val="70"/>
        </w:numPr>
      </w:pPr>
      <w:r w:rsidRPr="00F26C3C">
        <w:rPr>
          <w:bCs/>
          <w:iCs/>
        </w:rPr>
        <w:t>Recent h</w:t>
      </w:r>
      <w:r w:rsidRPr="00F9272F">
        <w:t>istory</w:t>
      </w:r>
      <w:r w:rsidRPr="0071718D">
        <w:t xml:space="preserve"> of drug or alcohol abuse</w:t>
      </w:r>
      <w:r>
        <w:t xml:space="preserve"> within that past 6 months (participants will be asked to refrain from alcohol and drug use during the course of the study)</w:t>
      </w:r>
    </w:p>
    <w:p w14:paraId="71F6B068" w14:textId="7A0081EE" w:rsidR="00F26C3C" w:rsidRPr="0071718D" w:rsidRDefault="00F26C3C" w:rsidP="00F26C3C">
      <w:pPr>
        <w:pStyle w:val="ListParagraph"/>
        <w:numPr>
          <w:ilvl w:val="0"/>
          <w:numId w:val="70"/>
        </w:numPr>
      </w:pPr>
      <w:r w:rsidRPr="0071718D">
        <w:t>Prior use of any investigational drug in the preceding 6 months</w:t>
      </w:r>
    </w:p>
    <w:p w14:paraId="1B225F71" w14:textId="7B9AD9E7" w:rsidR="00F26C3C" w:rsidRPr="0071718D" w:rsidRDefault="00F26C3C" w:rsidP="00F26C3C">
      <w:pPr>
        <w:pStyle w:val="ListParagraph"/>
        <w:numPr>
          <w:ilvl w:val="0"/>
          <w:numId w:val="70"/>
        </w:numPr>
      </w:pPr>
      <w:r w:rsidRPr="0071718D">
        <w:t>Liver function impairment or persisting elevations (confirmed by retest) of alanine</w:t>
      </w:r>
      <w:r>
        <w:t xml:space="preserve"> </w:t>
      </w:r>
      <w:r w:rsidRPr="0071718D">
        <w:t>aminotransferase (</w:t>
      </w:r>
      <w:r w:rsidRPr="002117E7">
        <w:t>ALT), aspartate aminotransferase</w:t>
      </w:r>
      <w:r w:rsidRPr="0071718D">
        <w:t xml:space="preserve"> (AST), or direct bilirubin greater than 2x the upper limit of normal range (ULN).</w:t>
      </w:r>
    </w:p>
    <w:p w14:paraId="69B1A1FB" w14:textId="34B8672F" w:rsidR="00F26C3C" w:rsidRPr="0071718D" w:rsidRDefault="00F26C3C" w:rsidP="00F26C3C">
      <w:pPr>
        <w:pStyle w:val="ListParagraph"/>
        <w:numPr>
          <w:ilvl w:val="0"/>
          <w:numId w:val="70"/>
        </w:numPr>
      </w:pPr>
      <w:r w:rsidRPr="0071718D">
        <w:t>Pregnant or breast-feeding women or those who plan to become pregnant during the</w:t>
      </w:r>
      <w:r>
        <w:t xml:space="preserve"> </w:t>
      </w:r>
      <w:r w:rsidRPr="0071718D">
        <w:t>study</w:t>
      </w:r>
    </w:p>
    <w:p w14:paraId="5EA0087A" w14:textId="7FB5347D" w:rsidR="00F26C3C" w:rsidRPr="0071718D" w:rsidRDefault="00F26C3C" w:rsidP="00F26C3C">
      <w:pPr>
        <w:pStyle w:val="ListParagraph"/>
        <w:numPr>
          <w:ilvl w:val="0"/>
          <w:numId w:val="70"/>
        </w:numPr>
      </w:pPr>
      <w:r w:rsidRPr="0071718D">
        <w:lastRenderedPageBreak/>
        <w:t>Women of childbearing potential not protected by effective contraceptive method of birth control and/or who are unwilling or unable to be tested for pregnancy.</w:t>
      </w:r>
    </w:p>
    <w:p w14:paraId="5015847D" w14:textId="77777777" w:rsidR="00F26C3C" w:rsidRDefault="00F26C3C" w:rsidP="00F26C3C">
      <w:pPr>
        <w:pStyle w:val="ListParagraph"/>
        <w:numPr>
          <w:ilvl w:val="0"/>
          <w:numId w:val="70"/>
        </w:numPr>
      </w:pPr>
      <w:r>
        <w:t>Participants</w:t>
      </w:r>
      <w:r w:rsidRPr="0071718D">
        <w:t xml:space="preserve"> wishing to parent children (be a partner in the conception of a child) during the</w:t>
      </w:r>
      <w:r>
        <w:t xml:space="preserve"> </w:t>
      </w:r>
      <w:r w:rsidRPr="0071718D">
        <w:t>course of the trial</w:t>
      </w:r>
      <w:r>
        <w:t>.</w:t>
      </w:r>
    </w:p>
    <w:p w14:paraId="00247FBD" w14:textId="6FD817CA" w:rsidR="00F26C3C" w:rsidRPr="0071718D" w:rsidRDefault="00F26C3C" w:rsidP="00F26C3C">
      <w:pPr>
        <w:pStyle w:val="ListParagraph"/>
        <w:numPr>
          <w:ilvl w:val="0"/>
          <w:numId w:val="70"/>
        </w:numPr>
      </w:pPr>
      <w:r>
        <w:t>Participants</w:t>
      </w:r>
      <w:r w:rsidRPr="0071718D">
        <w:t xml:space="preserve"> with significantly impaired bone marrow function or significant anemia,</w:t>
      </w:r>
      <w:r w:rsidRPr="00803252">
        <w:t xml:space="preserve"> </w:t>
      </w:r>
      <w:r w:rsidRPr="0071718D">
        <w:t xml:space="preserve">leukopenia, or thrombocytopenia </w:t>
      </w:r>
      <w:r w:rsidRPr="00F26C3C">
        <w:rPr>
          <w:b/>
          <w:bCs/>
          <w:i/>
          <w:iCs/>
        </w:rPr>
        <w:t>(confirmed by retest)</w:t>
      </w:r>
      <w:r w:rsidRPr="0071718D">
        <w:t>:</w:t>
      </w:r>
    </w:p>
    <w:p w14:paraId="13453713" w14:textId="08F0182F" w:rsidR="00F26C3C" w:rsidRPr="0071718D" w:rsidRDefault="00F26C3C" w:rsidP="00F26C3C">
      <w:pPr>
        <w:pStyle w:val="ListParagraph"/>
        <w:numPr>
          <w:ilvl w:val="1"/>
          <w:numId w:val="70"/>
        </w:numPr>
      </w:pPr>
      <w:r w:rsidRPr="0071718D">
        <w:t xml:space="preserve">Hematocrit &lt; </w:t>
      </w:r>
      <w:r>
        <w:t>35</w:t>
      </w:r>
      <w:r w:rsidRPr="0071718D">
        <w:t>% and/or</w:t>
      </w:r>
    </w:p>
    <w:p w14:paraId="615E9D55" w14:textId="145F7835" w:rsidR="00F26C3C" w:rsidRPr="0071718D" w:rsidRDefault="00F26C3C" w:rsidP="00F26C3C">
      <w:pPr>
        <w:pStyle w:val="ListParagraph"/>
        <w:numPr>
          <w:ilvl w:val="1"/>
          <w:numId w:val="70"/>
        </w:numPr>
      </w:pPr>
      <w:r w:rsidRPr="0071718D">
        <w:t xml:space="preserve">Absolute white blood cell count &lt; </w:t>
      </w:r>
      <w:r w:rsidRPr="00F26C3C">
        <w:rPr>
          <w:b/>
          <w:bCs/>
          <w:i/>
          <w:iCs/>
        </w:rPr>
        <w:t>3</w:t>
      </w:r>
      <w:r w:rsidRPr="0071718D">
        <w:t>000 cells/mm3 (μL) and/or</w:t>
      </w:r>
    </w:p>
    <w:p w14:paraId="05C6AE64" w14:textId="61061C93" w:rsidR="00F26C3C" w:rsidRPr="009C395D" w:rsidRDefault="00F26C3C" w:rsidP="00F26C3C">
      <w:pPr>
        <w:pStyle w:val="ListParagraph"/>
        <w:numPr>
          <w:ilvl w:val="1"/>
          <w:numId w:val="70"/>
        </w:numPr>
      </w:pPr>
      <w:r w:rsidRPr="0071718D">
        <w:t>Platelet count &lt; 150 000 cells/mm3 (μL) and/or</w:t>
      </w:r>
      <w:r w:rsidRPr="009C395D">
        <w:t>- Absolute neutrophil ≤ 1500 cells/mm3 (μL)</w:t>
      </w:r>
    </w:p>
    <w:p w14:paraId="321CD638" w14:textId="0DB572B0" w:rsidR="00F26C3C" w:rsidRDefault="00F26C3C" w:rsidP="00F26C3C">
      <w:pPr>
        <w:pStyle w:val="ListParagraph"/>
        <w:numPr>
          <w:ilvl w:val="0"/>
          <w:numId w:val="70"/>
        </w:numPr>
      </w:pPr>
      <w:r>
        <w:t>Any known history of severe preexisting constipation</w:t>
      </w:r>
    </w:p>
    <w:p w14:paraId="1752FC69" w14:textId="40C871DD" w:rsidR="00F26C3C" w:rsidRPr="0071718D" w:rsidRDefault="00F26C3C" w:rsidP="00F26C3C">
      <w:pPr>
        <w:pStyle w:val="ListParagraph"/>
        <w:numPr>
          <w:ilvl w:val="0"/>
          <w:numId w:val="70"/>
        </w:numPr>
      </w:pPr>
      <w:r>
        <w:t>History of swallowing disorder or difficulty swallowing</w:t>
      </w:r>
    </w:p>
    <w:p w14:paraId="73C65177" w14:textId="73B52F54" w:rsidR="00AD03CE" w:rsidRPr="00877FD7" w:rsidRDefault="0073262F" w:rsidP="00836680">
      <w:pPr>
        <w:pStyle w:val="BlockText"/>
        <w:ind w:left="0" w:right="0"/>
        <w:rPr>
          <w:color w:val="000000" w:themeColor="text1"/>
        </w:rPr>
      </w:pPr>
      <w:r w:rsidRPr="00877FD7">
        <w:rPr>
          <w:i w:val="0"/>
          <w:color w:val="000000" w:themeColor="text1"/>
        </w:rPr>
        <w:t>10.4</w:t>
      </w:r>
      <w:r>
        <w:rPr>
          <w:color w:val="000000" w:themeColor="text1"/>
        </w:rPr>
        <w:t xml:space="preserve"> </w:t>
      </w:r>
      <w:r w:rsidR="00E55B23">
        <w:rPr>
          <w:i w:val="0"/>
          <w:color w:val="000000" w:themeColor="text1"/>
        </w:rPr>
        <w:t>Subjects will be withdrawn from the study if the investigator determines it is in</w:t>
      </w:r>
      <w:r w:rsidR="008729E7">
        <w:rPr>
          <w:i w:val="0"/>
          <w:color w:val="000000" w:themeColor="text1"/>
        </w:rPr>
        <w:t xml:space="preserve"> t</w:t>
      </w:r>
      <w:r w:rsidR="00E55B23">
        <w:rPr>
          <w:i w:val="0"/>
          <w:color w:val="000000" w:themeColor="text1"/>
        </w:rPr>
        <w:t>h</w:t>
      </w:r>
      <w:r w:rsidR="008729E7">
        <w:rPr>
          <w:i w:val="0"/>
          <w:color w:val="000000" w:themeColor="text1"/>
        </w:rPr>
        <w:t>e</w:t>
      </w:r>
      <w:r w:rsidR="00E55B23">
        <w:rPr>
          <w:i w:val="0"/>
          <w:color w:val="000000" w:themeColor="text1"/>
        </w:rPr>
        <w:t xml:space="preserve"> best interest of the subject after review of </w:t>
      </w:r>
      <w:r w:rsidR="00624DCD">
        <w:rPr>
          <w:i w:val="0"/>
          <w:color w:val="000000" w:themeColor="text1"/>
        </w:rPr>
        <w:t xml:space="preserve">safety labs, </w:t>
      </w:r>
      <w:r w:rsidR="00E55B23">
        <w:rPr>
          <w:i w:val="0"/>
          <w:color w:val="000000" w:themeColor="text1"/>
        </w:rPr>
        <w:t>adverse events</w:t>
      </w:r>
      <w:r w:rsidR="00624DCD">
        <w:rPr>
          <w:i w:val="0"/>
          <w:color w:val="000000" w:themeColor="text1"/>
        </w:rPr>
        <w:t>,</w:t>
      </w:r>
      <w:r w:rsidR="00E55B23">
        <w:rPr>
          <w:i w:val="0"/>
          <w:color w:val="000000" w:themeColor="text1"/>
        </w:rPr>
        <w:t xml:space="preserve"> and medication</w:t>
      </w:r>
      <w:r w:rsidR="0014154D">
        <w:rPr>
          <w:i w:val="0"/>
          <w:color w:val="000000" w:themeColor="text1"/>
        </w:rPr>
        <w:t xml:space="preserve"> changes</w:t>
      </w:r>
      <w:r w:rsidR="00E55B23">
        <w:rPr>
          <w:i w:val="0"/>
          <w:color w:val="000000" w:themeColor="text1"/>
        </w:rPr>
        <w:t xml:space="preserve">. If the subject </w:t>
      </w:r>
      <w:r w:rsidR="008729E7">
        <w:rPr>
          <w:i w:val="0"/>
          <w:color w:val="000000" w:themeColor="text1"/>
        </w:rPr>
        <w:t>is lost to follow-up</w:t>
      </w:r>
      <w:r w:rsidR="00E55B23">
        <w:rPr>
          <w:i w:val="0"/>
          <w:color w:val="000000" w:themeColor="text1"/>
        </w:rPr>
        <w:t>, he/she will also be withdrawn</w:t>
      </w:r>
      <w:r w:rsidR="008729E7">
        <w:rPr>
          <w:i w:val="0"/>
          <w:color w:val="000000" w:themeColor="text1"/>
        </w:rPr>
        <w:t xml:space="preserve"> after attempts are made to bring the subject in for a withdrawal visit</w:t>
      </w:r>
      <w:r w:rsidR="00DE47FC">
        <w:rPr>
          <w:i w:val="0"/>
          <w:color w:val="000000" w:themeColor="text1"/>
        </w:rPr>
        <w:t xml:space="preserve"> (if needed)</w:t>
      </w:r>
      <w:r w:rsidR="00E55B23">
        <w:rPr>
          <w:i w:val="0"/>
          <w:color w:val="000000" w:themeColor="text1"/>
        </w:rPr>
        <w:t xml:space="preserve">. </w:t>
      </w:r>
    </w:p>
    <w:p w14:paraId="79363BA1" w14:textId="3A5102F0" w:rsidR="0011551B" w:rsidRPr="00343DA7" w:rsidRDefault="00836680" w:rsidP="00343DA7">
      <w:pPr>
        <w:pStyle w:val="BlockText"/>
        <w:ind w:left="0" w:right="0"/>
        <w:rPr>
          <w:i w:val="0"/>
        </w:rPr>
      </w:pPr>
      <w:r>
        <w:rPr>
          <w:i w:val="0"/>
        </w:rPr>
        <w:t>10.</w:t>
      </w:r>
      <w:r w:rsidR="0073262F">
        <w:rPr>
          <w:i w:val="0"/>
        </w:rPr>
        <w:t>5</w:t>
      </w:r>
      <w:r>
        <w:rPr>
          <w:i w:val="0"/>
        </w:rPr>
        <w:t xml:space="preserve"> </w:t>
      </w:r>
      <w:r w:rsidR="00343DA7">
        <w:rPr>
          <w:i w:val="0"/>
        </w:rPr>
        <w:t>N/A</w:t>
      </w:r>
    </w:p>
    <w:p w14:paraId="309A85E0" w14:textId="77777777" w:rsidR="00C336D4" w:rsidRPr="00AA2384" w:rsidRDefault="00C336D4" w:rsidP="004A1A96">
      <w:pPr>
        <w:pStyle w:val="Heading1"/>
      </w:pPr>
      <w:bookmarkStart w:id="11" w:name="_Toc18064208"/>
      <w:r w:rsidRPr="00AA2384">
        <w:t xml:space="preserve">Vulnerable </w:t>
      </w:r>
      <w:r w:rsidRPr="00A01D71">
        <w:t>Populations</w:t>
      </w:r>
      <w:bookmarkEnd w:id="11"/>
    </w:p>
    <w:p w14:paraId="37018C4D" w14:textId="63CC10BD" w:rsidR="00C336D4" w:rsidRPr="00343DA7" w:rsidRDefault="00836680" w:rsidP="00343DA7">
      <w:pPr>
        <w:pStyle w:val="BlockText"/>
        <w:ind w:left="0" w:right="0"/>
        <w:rPr>
          <w:i w:val="0"/>
        </w:rPr>
      </w:pPr>
      <w:r>
        <w:rPr>
          <w:i w:val="0"/>
        </w:rPr>
        <w:t xml:space="preserve">11.1 </w:t>
      </w:r>
      <w:r w:rsidR="00343DA7">
        <w:rPr>
          <w:i w:val="0"/>
        </w:rPr>
        <w:t>N/A</w:t>
      </w:r>
    </w:p>
    <w:p w14:paraId="51702489" w14:textId="77777777" w:rsidR="00C336D4" w:rsidRPr="00CA0CB1" w:rsidRDefault="00C336D4" w:rsidP="004A1A96">
      <w:pPr>
        <w:pStyle w:val="Heading1"/>
        <w:rPr>
          <w:bCs/>
        </w:rPr>
      </w:pPr>
      <w:bookmarkStart w:id="12" w:name="_Toc18064209"/>
      <w:r w:rsidRPr="00CA0CB1">
        <w:t xml:space="preserve">Local Number of </w:t>
      </w:r>
      <w:r w:rsidRPr="00033F6D">
        <w:t>Subjects</w:t>
      </w:r>
      <w:bookmarkEnd w:id="12"/>
    </w:p>
    <w:p w14:paraId="56368F4F" w14:textId="6D139793" w:rsidR="00C336D4" w:rsidRDefault="00836680" w:rsidP="00836680">
      <w:pPr>
        <w:pStyle w:val="BlockText"/>
        <w:ind w:left="0" w:right="0"/>
      </w:pPr>
      <w:r>
        <w:rPr>
          <w:i w:val="0"/>
        </w:rPr>
        <w:t xml:space="preserve">12.1 </w:t>
      </w:r>
      <w:r w:rsidR="002155C1">
        <w:rPr>
          <w:i w:val="0"/>
        </w:rPr>
        <w:t>30 subjects will be recruited locally.</w:t>
      </w:r>
    </w:p>
    <w:p w14:paraId="0624A6FD" w14:textId="59038FEE" w:rsidR="00C336D4" w:rsidRPr="00CA0CB1" w:rsidRDefault="00836680" w:rsidP="00836680">
      <w:pPr>
        <w:pStyle w:val="BlockText"/>
        <w:ind w:left="0" w:right="0"/>
      </w:pPr>
      <w:r>
        <w:rPr>
          <w:i w:val="0"/>
        </w:rPr>
        <w:t xml:space="preserve">12.2 </w:t>
      </w:r>
      <w:r w:rsidR="002155C1" w:rsidRPr="002155C1">
        <w:rPr>
          <w:i w:val="0"/>
        </w:rPr>
        <w:t>It is expected that 25 patients will be eligible to enter this study during the proposed timeframe. This sample size will be used for a pilot, PK level evaluation study and therefore is not powered.</w:t>
      </w:r>
    </w:p>
    <w:p w14:paraId="4726F0DB" w14:textId="2C0AB4C9" w:rsidR="00C336D4" w:rsidRPr="00CA0CB1" w:rsidRDefault="00C336D4" w:rsidP="004A1A96">
      <w:pPr>
        <w:pStyle w:val="Heading1"/>
        <w:rPr>
          <w:bCs/>
        </w:rPr>
      </w:pPr>
      <w:bookmarkStart w:id="13" w:name="_Toc18064210"/>
      <w:r w:rsidRPr="00CA0CB1">
        <w:t xml:space="preserve">Recruitment </w:t>
      </w:r>
      <w:r w:rsidRPr="00033F6D">
        <w:t>Methods</w:t>
      </w:r>
      <w:bookmarkEnd w:id="13"/>
    </w:p>
    <w:p w14:paraId="5101903E" w14:textId="28065CC6" w:rsidR="007B670A" w:rsidRDefault="00836680" w:rsidP="00836680">
      <w:pPr>
        <w:pStyle w:val="BlockText"/>
        <w:ind w:left="0" w:right="0"/>
      </w:pPr>
      <w:r>
        <w:rPr>
          <w:i w:val="0"/>
        </w:rPr>
        <w:t xml:space="preserve">13.1 </w:t>
      </w:r>
      <w:r w:rsidR="00D901F7">
        <w:rPr>
          <w:i w:val="0"/>
        </w:rPr>
        <w:t xml:space="preserve">Flyers will be posted around the </w:t>
      </w:r>
      <w:r w:rsidR="00C93A9C">
        <w:rPr>
          <w:i w:val="0"/>
        </w:rPr>
        <w:t>USF</w:t>
      </w:r>
      <w:r w:rsidR="00D901F7">
        <w:rPr>
          <w:i w:val="0"/>
        </w:rPr>
        <w:t xml:space="preserve"> community to recruit healthy subjects between 18 and 45 years of age. Subjects who are interested will be asked to contact the study team to </w:t>
      </w:r>
      <w:r w:rsidR="009821BE">
        <w:rPr>
          <w:i w:val="0"/>
        </w:rPr>
        <w:t xml:space="preserve">complete a prescreen questionnaire. </w:t>
      </w:r>
    </w:p>
    <w:tbl>
      <w:tblPr>
        <w:tblpPr w:leftFromText="180" w:rightFromText="180" w:vertAnchor="text" w:horzAnchor="margin" w:tblpY="664"/>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0"/>
        <w:gridCol w:w="4200"/>
      </w:tblGrid>
      <w:tr w:rsidR="00042FA1" w14:paraId="7AC12E04" w14:textId="77777777" w:rsidTr="00042FA1">
        <w:tc>
          <w:tcPr>
            <w:tcW w:w="4430" w:type="dxa"/>
          </w:tcPr>
          <w:p w14:paraId="4B2861DC" w14:textId="4C61E6BA" w:rsidR="00042FA1" w:rsidRDefault="004E335B" w:rsidP="00042FA1">
            <w:sdt>
              <w:sdtPr>
                <w:id w:val="-1612740091"/>
                <w14:checkbox>
                  <w14:checked w14:val="0"/>
                  <w14:checkedState w14:val="2612" w14:font="MS Gothic"/>
                  <w14:uncheckedState w14:val="2610" w14:font="MS Gothic"/>
                </w14:checkbox>
              </w:sdtPr>
              <w:sdtEndPr/>
              <w:sdtContent>
                <w:r w:rsidR="006D38C0">
                  <w:rPr>
                    <w:rFonts w:ascii="MS Gothic" w:eastAsia="MS Gothic" w:hAnsi="MS Gothic" w:hint="eastAsia"/>
                  </w:rPr>
                  <w:t>☐</w:t>
                </w:r>
              </w:sdtContent>
            </w:sdt>
            <w:r w:rsidR="00042FA1" w:rsidRPr="00E66D54" w:rsidDel="007208BD">
              <w:rPr>
                <w:b/>
              </w:rPr>
              <w:t xml:space="preserve"> </w:t>
            </w:r>
            <w:r w:rsidR="00042FA1">
              <w:t>Email</w:t>
            </w:r>
          </w:p>
        </w:tc>
        <w:tc>
          <w:tcPr>
            <w:tcW w:w="4200" w:type="dxa"/>
          </w:tcPr>
          <w:p w14:paraId="673F1979" w14:textId="0D471065" w:rsidR="00042FA1" w:rsidRPr="00CD4011" w:rsidRDefault="004E335B" w:rsidP="00042FA1">
            <w:pPr>
              <w:rPr>
                <w:rFonts w:asciiTheme="minorHAnsi" w:hAnsiTheme="minorHAnsi" w:cstheme="minorHAnsi"/>
              </w:rPr>
            </w:pPr>
            <w:sdt>
              <w:sdtPr>
                <w:id w:val="-6526754"/>
                <w14:checkbox>
                  <w14:checked w14:val="0"/>
                  <w14:checkedState w14:val="2612" w14:font="MS Gothic"/>
                  <w14:uncheckedState w14:val="2610" w14:font="MS Gothic"/>
                </w14:checkbox>
              </w:sdtPr>
              <w:sdtEndPr/>
              <w:sdtContent>
                <w:r w:rsidR="00D76189">
                  <w:rPr>
                    <w:rFonts w:ascii="MS Gothic" w:eastAsia="MS Gothic" w:hAnsi="MS Gothic" w:hint="eastAsia"/>
                  </w:rPr>
                  <w:t>☐</w:t>
                </w:r>
              </w:sdtContent>
            </w:sdt>
            <w:r w:rsidR="00042FA1" w:rsidDel="007208BD">
              <w:rPr>
                <w:b/>
              </w:rPr>
              <w:t xml:space="preserve"> </w:t>
            </w:r>
            <w:r w:rsidR="00042FA1">
              <w:t>Online/Social Media Advertisement</w:t>
            </w:r>
          </w:p>
        </w:tc>
      </w:tr>
      <w:tr w:rsidR="00042FA1" w14:paraId="7F781EA9" w14:textId="77777777" w:rsidTr="00042FA1">
        <w:tc>
          <w:tcPr>
            <w:tcW w:w="4430" w:type="dxa"/>
          </w:tcPr>
          <w:p w14:paraId="600F4158" w14:textId="1E2867A6" w:rsidR="00042FA1" w:rsidRDefault="004E335B" w:rsidP="00042FA1">
            <w:sdt>
              <w:sdtPr>
                <w:id w:val="1995830745"/>
                <w14:checkbox>
                  <w14:checked w14:val="1"/>
                  <w14:checkedState w14:val="2612" w14:font="MS Gothic"/>
                  <w14:uncheckedState w14:val="2610" w14:font="MS Gothic"/>
                </w14:checkbox>
              </w:sdtPr>
              <w:sdtEndPr/>
              <w:sdtContent>
                <w:r w:rsidR="00343DA7">
                  <w:rPr>
                    <w:rFonts w:ascii="MS Gothic" w:eastAsia="MS Gothic" w:hAnsi="MS Gothic" w:hint="eastAsia"/>
                  </w:rPr>
                  <w:t>☒</w:t>
                </w:r>
              </w:sdtContent>
            </w:sdt>
            <w:r w:rsidR="00042FA1" w:rsidRPr="00E66D54" w:rsidDel="007208BD">
              <w:rPr>
                <w:b/>
              </w:rPr>
              <w:t xml:space="preserve"> </w:t>
            </w:r>
            <w:r w:rsidR="00042FA1">
              <w:t>Flyer</w:t>
            </w:r>
          </w:p>
        </w:tc>
        <w:tc>
          <w:tcPr>
            <w:tcW w:w="4200" w:type="dxa"/>
          </w:tcPr>
          <w:p w14:paraId="444AAA68" w14:textId="60117E19" w:rsidR="00042FA1" w:rsidRDefault="004E335B" w:rsidP="00042FA1">
            <w:sdt>
              <w:sdtPr>
                <w:id w:val="890003805"/>
                <w14:checkbox>
                  <w14:checked w14:val="0"/>
                  <w14:checkedState w14:val="2612" w14:font="MS Gothic"/>
                  <w14:uncheckedState w14:val="2610" w14:font="MS Gothic"/>
                </w14:checkbox>
              </w:sdtPr>
              <w:sdtEndPr/>
              <w:sdtContent>
                <w:r w:rsidR="00E13A34">
                  <w:rPr>
                    <w:rFonts w:ascii="MS Gothic" w:eastAsia="MS Gothic" w:hAnsi="MS Gothic" w:hint="eastAsia"/>
                  </w:rPr>
                  <w:t>☐</w:t>
                </w:r>
              </w:sdtContent>
            </w:sdt>
            <w:r w:rsidR="00042FA1" w:rsidRPr="00E66D54" w:rsidDel="007208BD">
              <w:rPr>
                <w:b/>
              </w:rPr>
              <w:t xml:space="preserve"> </w:t>
            </w:r>
            <w:r w:rsidR="00042FA1" w:rsidRPr="00E66D54">
              <w:t>Rec</w:t>
            </w:r>
            <w:r w:rsidR="00042FA1">
              <w:t>ord Review</w:t>
            </w:r>
          </w:p>
        </w:tc>
      </w:tr>
      <w:tr w:rsidR="00042FA1" w14:paraId="51EF0847" w14:textId="77777777" w:rsidTr="00042FA1">
        <w:tc>
          <w:tcPr>
            <w:tcW w:w="4430" w:type="dxa"/>
          </w:tcPr>
          <w:p w14:paraId="3E3D3327" w14:textId="77777777" w:rsidR="00042FA1" w:rsidRDefault="004E335B" w:rsidP="00042FA1">
            <w:sdt>
              <w:sdtPr>
                <w:id w:val="-1098554901"/>
                <w14:checkbox>
                  <w14:checked w14:val="0"/>
                  <w14:checkedState w14:val="2612" w14:font="MS Gothic"/>
                  <w14:uncheckedState w14:val="2610" w14:font="MS Gothic"/>
                </w14:checkbox>
              </w:sdtPr>
              <w:sdtEndPr/>
              <w:sdtContent>
                <w:r w:rsidR="00042FA1">
                  <w:rPr>
                    <w:rFonts w:ascii="MS Gothic" w:eastAsia="MS Gothic" w:hAnsi="MS Gothic" w:hint="eastAsia"/>
                  </w:rPr>
                  <w:t>☐</w:t>
                </w:r>
              </w:sdtContent>
            </w:sdt>
            <w:r w:rsidR="00042FA1" w:rsidRPr="00E66D54" w:rsidDel="007208BD">
              <w:rPr>
                <w:b/>
              </w:rPr>
              <w:t xml:space="preserve"> </w:t>
            </w:r>
            <w:r w:rsidR="00042FA1">
              <w:t>Letter</w:t>
            </w:r>
          </w:p>
        </w:tc>
        <w:tc>
          <w:tcPr>
            <w:tcW w:w="4200" w:type="dxa"/>
          </w:tcPr>
          <w:p w14:paraId="4CE03F73" w14:textId="22C285D7" w:rsidR="00042FA1" w:rsidRDefault="004E335B" w:rsidP="00042FA1">
            <w:sdt>
              <w:sdtPr>
                <w:id w:val="-705333972"/>
                <w14:checkbox>
                  <w14:checked w14:val="1"/>
                  <w14:checkedState w14:val="2612" w14:font="MS Gothic"/>
                  <w14:uncheckedState w14:val="2610" w14:font="MS Gothic"/>
                </w14:checkbox>
              </w:sdtPr>
              <w:sdtEndPr/>
              <w:sdtContent>
                <w:r w:rsidR="0094615B">
                  <w:rPr>
                    <w:rFonts w:ascii="MS Gothic" w:eastAsia="MS Gothic" w:hAnsi="MS Gothic" w:hint="eastAsia"/>
                  </w:rPr>
                  <w:t>☒</w:t>
                </w:r>
              </w:sdtContent>
            </w:sdt>
            <w:r w:rsidR="00042FA1" w:rsidRPr="00E66D54" w:rsidDel="00437B13">
              <w:rPr>
                <w:b/>
              </w:rPr>
              <w:t xml:space="preserve"> </w:t>
            </w:r>
            <w:r w:rsidR="00042FA1">
              <w:t>Other</w:t>
            </w:r>
          </w:p>
        </w:tc>
      </w:tr>
      <w:tr w:rsidR="00042FA1" w14:paraId="259B0111" w14:textId="77777777" w:rsidTr="00042FA1">
        <w:tc>
          <w:tcPr>
            <w:tcW w:w="4430" w:type="dxa"/>
          </w:tcPr>
          <w:p w14:paraId="5A1D5C0A" w14:textId="77777777" w:rsidR="00042FA1" w:rsidRDefault="004E335B" w:rsidP="00042FA1">
            <w:sdt>
              <w:sdtPr>
                <w:id w:val="1460840247"/>
                <w14:checkbox>
                  <w14:checked w14:val="0"/>
                  <w14:checkedState w14:val="2612" w14:font="MS Gothic"/>
                  <w14:uncheckedState w14:val="2610" w14:font="MS Gothic"/>
                </w14:checkbox>
              </w:sdtPr>
              <w:sdtEndPr/>
              <w:sdtContent>
                <w:r w:rsidR="00042FA1">
                  <w:rPr>
                    <w:rFonts w:ascii="MS Gothic" w:eastAsia="MS Gothic" w:hAnsi="MS Gothic" w:hint="eastAsia"/>
                  </w:rPr>
                  <w:t>☐</w:t>
                </w:r>
              </w:sdtContent>
            </w:sdt>
            <w:r w:rsidR="00042FA1" w:rsidRPr="00E66D54" w:rsidDel="007208BD">
              <w:rPr>
                <w:b/>
              </w:rPr>
              <w:t xml:space="preserve"> </w:t>
            </w:r>
            <w:r w:rsidR="00042FA1">
              <w:t>News Advertisement</w:t>
            </w:r>
          </w:p>
        </w:tc>
        <w:tc>
          <w:tcPr>
            <w:tcW w:w="4200" w:type="dxa"/>
          </w:tcPr>
          <w:p w14:paraId="3360DA14" w14:textId="77777777" w:rsidR="00042FA1" w:rsidRDefault="00042FA1" w:rsidP="00042FA1"/>
        </w:tc>
      </w:tr>
    </w:tbl>
    <w:p w14:paraId="6F1CA69F" w14:textId="4E78E69A" w:rsidR="00C336D4" w:rsidRDefault="00836680" w:rsidP="00836680">
      <w:pPr>
        <w:pStyle w:val="BlockText"/>
        <w:spacing w:before="0" w:after="0"/>
        <w:ind w:left="0" w:right="0"/>
      </w:pPr>
      <w:r>
        <w:rPr>
          <w:i w:val="0"/>
        </w:rPr>
        <w:t xml:space="preserve">13.2 </w:t>
      </w:r>
    </w:p>
    <w:p w14:paraId="08102704" w14:textId="7E9BE4B8" w:rsidR="00AC0FCC" w:rsidRPr="00CA0CB1" w:rsidRDefault="00042FA1" w:rsidP="00042FA1">
      <w:pPr>
        <w:pStyle w:val="BlockText"/>
        <w:ind w:left="0" w:right="0"/>
      </w:pPr>
      <w:r>
        <w:rPr>
          <w:i w:val="0"/>
        </w:rPr>
        <w:t xml:space="preserve">13.3 </w:t>
      </w:r>
      <w:r w:rsidR="00480F97">
        <w:rPr>
          <w:i w:val="0"/>
        </w:rPr>
        <w:t xml:space="preserve">Potential subjects will be asked to contact the study team if interested in participating. No special or vulnerable populations will be recruited. While USF students may choose to participate, students are not the target population. </w:t>
      </w:r>
    </w:p>
    <w:p w14:paraId="40541353" w14:textId="77777777" w:rsidR="00C336D4" w:rsidRPr="00CA0CB1" w:rsidRDefault="00C336D4" w:rsidP="004A1A96">
      <w:pPr>
        <w:pStyle w:val="Heading1"/>
      </w:pPr>
      <w:bookmarkStart w:id="14" w:name="_Toc492992334"/>
      <w:bookmarkStart w:id="15" w:name="_Toc492992602"/>
      <w:bookmarkStart w:id="16" w:name="_Toc493022872"/>
      <w:bookmarkStart w:id="17" w:name="_Toc492992335"/>
      <w:bookmarkStart w:id="18" w:name="_Toc492992603"/>
      <w:bookmarkStart w:id="19" w:name="_Toc493022873"/>
      <w:bookmarkStart w:id="20" w:name="_Toc492992336"/>
      <w:bookmarkStart w:id="21" w:name="_Toc492992604"/>
      <w:bookmarkStart w:id="22" w:name="_Toc493022874"/>
      <w:bookmarkStart w:id="23" w:name="_Toc18064211"/>
      <w:bookmarkEnd w:id="14"/>
      <w:bookmarkEnd w:id="15"/>
      <w:bookmarkEnd w:id="16"/>
      <w:bookmarkEnd w:id="17"/>
      <w:bookmarkEnd w:id="18"/>
      <w:bookmarkEnd w:id="19"/>
      <w:bookmarkEnd w:id="20"/>
      <w:bookmarkEnd w:id="21"/>
      <w:bookmarkEnd w:id="22"/>
      <w:r w:rsidRPr="00CA0CB1">
        <w:t>Withdrawal of Subjects</w:t>
      </w:r>
      <w:bookmarkEnd w:id="23"/>
    </w:p>
    <w:p w14:paraId="53556B40" w14:textId="4F0321B5" w:rsidR="00EC5EAE" w:rsidRPr="00EC5EAE" w:rsidRDefault="00042FA1" w:rsidP="00EC5EAE">
      <w:pPr>
        <w:pStyle w:val="NoSpacing"/>
        <w:rPr>
          <w:rFonts w:ascii="Times New Roman" w:hAnsi="Times New Roman" w:cs="Times New Roman"/>
          <w:bCs/>
          <w:sz w:val="24"/>
          <w:szCs w:val="24"/>
        </w:rPr>
      </w:pPr>
      <w:r w:rsidRPr="00EC5EAE">
        <w:rPr>
          <w:rFonts w:ascii="Times New Roman" w:hAnsi="Times New Roman" w:cs="Times New Roman"/>
          <w:sz w:val="24"/>
          <w:szCs w:val="24"/>
        </w:rPr>
        <w:t xml:space="preserve">14.1 </w:t>
      </w:r>
      <w:r w:rsidR="00EC5EAE" w:rsidRPr="00EC5EAE">
        <w:rPr>
          <w:rFonts w:ascii="Times New Roman" w:hAnsi="Times New Roman" w:cs="Times New Roman"/>
          <w:bCs/>
          <w:sz w:val="24"/>
          <w:szCs w:val="24"/>
        </w:rPr>
        <w:t>Subjects will be withdrawn from the study if:</w:t>
      </w:r>
    </w:p>
    <w:p w14:paraId="0F005EB4" w14:textId="098B769E" w:rsidR="00EC5EAE" w:rsidRPr="00EC5EAE" w:rsidRDefault="00EC5EAE" w:rsidP="00EC5EAE">
      <w:pPr>
        <w:pStyle w:val="NoSpacing"/>
        <w:numPr>
          <w:ilvl w:val="0"/>
          <w:numId w:val="73"/>
        </w:numPr>
        <w:tabs>
          <w:tab w:val="clear" w:pos="720"/>
        </w:tabs>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C5EAE">
        <w:rPr>
          <w:rFonts w:ascii="Times New Roman" w:hAnsi="Times New Roman" w:cs="Times New Roman"/>
          <w:sz w:val="24"/>
          <w:szCs w:val="24"/>
        </w:rPr>
        <w:t xml:space="preserve">Investigator considers it would be in the best interest of the </w:t>
      </w:r>
      <w:r>
        <w:rPr>
          <w:rFonts w:ascii="Times New Roman" w:hAnsi="Times New Roman" w:cs="Times New Roman"/>
          <w:color w:val="000000"/>
          <w:sz w:val="24"/>
          <w:szCs w:val="24"/>
        </w:rPr>
        <w:t>subject</w:t>
      </w:r>
      <w:r w:rsidRPr="00EC5EAE">
        <w:rPr>
          <w:rFonts w:ascii="Times New Roman" w:hAnsi="Times New Roman" w:cs="Times New Roman"/>
          <w:sz w:val="24"/>
          <w:szCs w:val="24"/>
        </w:rPr>
        <w:t xml:space="preserve"> (e.g. adverse events, intercurrent illness or onset of new clinically significant condition)</w:t>
      </w:r>
      <w:r w:rsidR="0004285B">
        <w:rPr>
          <w:rFonts w:ascii="Times New Roman" w:hAnsi="Times New Roman" w:cs="Times New Roman"/>
          <w:sz w:val="24"/>
          <w:szCs w:val="24"/>
        </w:rPr>
        <w:t>.</w:t>
      </w:r>
    </w:p>
    <w:p w14:paraId="1C3DDAD0" w14:textId="5A5A7BB4" w:rsidR="00EC5EAE" w:rsidRPr="00EC5EAE" w:rsidRDefault="00EC5EAE" w:rsidP="00EC5EAE">
      <w:pPr>
        <w:pStyle w:val="NoSpacing"/>
        <w:numPr>
          <w:ilvl w:val="0"/>
          <w:numId w:val="73"/>
        </w:numPr>
        <w:tabs>
          <w:tab w:val="clear" w:pos="720"/>
        </w:tabs>
        <w:rPr>
          <w:rFonts w:ascii="Times New Roman" w:hAnsi="Times New Roman" w:cs="Times New Roman"/>
          <w:sz w:val="24"/>
          <w:szCs w:val="24"/>
        </w:rPr>
      </w:pPr>
      <w:r w:rsidRPr="00EC5EAE">
        <w:rPr>
          <w:rFonts w:ascii="Times New Roman" w:hAnsi="Times New Roman" w:cs="Times New Roman"/>
          <w:sz w:val="24"/>
          <w:szCs w:val="24"/>
        </w:rPr>
        <w:t xml:space="preserve">Female </w:t>
      </w:r>
      <w:r w:rsidR="0004285B">
        <w:rPr>
          <w:rFonts w:ascii="Times New Roman" w:hAnsi="Times New Roman" w:cs="Times New Roman"/>
          <w:color w:val="000000"/>
          <w:sz w:val="24"/>
          <w:szCs w:val="24"/>
        </w:rPr>
        <w:t>subject</w:t>
      </w:r>
      <w:r w:rsidRPr="00EC5EAE">
        <w:rPr>
          <w:rFonts w:ascii="Times New Roman" w:hAnsi="Times New Roman" w:cs="Times New Roman"/>
          <w:sz w:val="24"/>
          <w:szCs w:val="24"/>
        </w:rPr>
        <w:t xml:space="preserve"> becomes pregnant</w:t>
      </w:r>
      <w:r w:rsidR="0004285B">
        <w:rPr>
          <w:rFonts w:ascii="Times New Roman" w:hAnsi="Times New Roman" w:cs="Times New Roman"/>
          <w:sz w:val="24"/>
          <w:szCs w:val="24"/>
        </w:rPr>
        <w:t>.</w:t>
      </w:r>
    </w:p>
    <w:p w14:paraId="0C00129D" w14:textId="4849004B" w:rsidR="00EC5EAE" w:rsidRPr="00EC5EAE" w:rsidRDefault="00EC5EAE" w:rsidP="00EC5EAE">
      <w:pPr>
        <w:pStyle w:val="NoSpacing"/>
        <w:numPr>
          <w:ilvl w:val="0"/>
          <w:numId w:val="73"/>
        </w:numPr>
        <w:tabs>
          <w:tab w:val="clear" w:pos="720"/>
        </w:tabs>
        <w:rPr>
          <w:rFonts w:ascii="Times New Roman" w:hAnsi="Times New Roman" w:cs="Times New Roman"/>
          <w:sz w:val="24"/>
          <w:szCs w:val="24"/>
        </w:rPr>
      </w:pPr>
      <w:r w:rsidRPr="00EC5EAE">
        <w:rPr>
          <w:rFonts w:ascii="Times New Roman" w:hAnsi="Times New Roman" w:cs="Times New Roman"/>
          <w:sz w:val="24"/>
          <w:szCs w:val="24"/>
        </w:rPr>
        <w:t>Protocol violation</w:t>
      </w:r>
      <w:r w:rsidR="0004285B">
        <w:rPr>
          <w:rFonts w:ascii="Times New Roman" w:hAnsi="Times New Roman" w:cs="Times New Roman"/>
          <w:sz w:val="24"/>
          <w:szCs w:val="24"/>
        </w:rPr>
        <w:t xml:space="preserve"> which increases the risk to the subject.</w:t>
      </w:r>
    </w:p>
    <w:p w14:paraId="79D6DB96" w14:textId="05A828FA" w:rsidR="00EC5EAE" w:rsidRPr="00EC5EAE" w:rsidRDefault="00EC5EAE" w:rsidP="00EC5EAE">
      <w:pPr>
        <w:pStyle w:val="NoSpacing"/>
        <w:numPr>
          <w:ilvl w:val="0"/>
          <w:numId w:val="73"/>
        </w:numPr>
        <w:rPr>
          <w:rFonts w:ascii="Times New Roman" w:hAnsi="Times New Roman" w:cs="Times New Roman"/>
          <w:sz w:val="24"/>
          <w:szCs w:val="24"/>
        </w:rPr>
      </w:pPr>
      <w:r w:rsidRPr="00EC5EAE">
        <w:rPr>
          <w:rFonts w:ascii="Times New Roman" w:hAnsi="Times New Roman" w:cs="Times New Roman"/>
          <w:sz w:val="24"/>
          <w:szCs w:val="24"/>
        </w:rPr>
        <w:t>Non-</w:t>
      </w:r>
      <w:r w:rsidR="0004285B">
        <w:rPr>
          <w:rFonts w:ascii="Times New Roman" w:hAnsi="Times New Roman" w:cs="Times New Roman"/>
          <w:sz w:val="24"/>
          <w:szCs w:val="24"/>
        </w:rPr>
        <w:t>adherence</w:t>
      </w:r>
      <w:r w:rsidRPr="00EC5EAE">
        <w:rPr>
          <w:rFonts w:ascii="Times New Roman" w:hAnsi="Times New Roman" w:cs="Times New Roman"/>
          <w:sz w:val="24"/>
          <w:szCs w:val="24"/>
        </w:rPr>
        <w:t xml:space="preserve"> to study medication regimen</w:t>
      </w:r>
      <w:r w:rsidR="0004285B">
        <w:rPr>
          <w:rFonts w:ascii="Times New Roman" w:hAnsi="Times New Roman" w:cs="Times New Roman"/>
          <w:sz w:val="24"/>
          <w:szCs w:val="24"/>
        </w:rPr>
        <w:t>.</w:t>
      </w:r>
    </w:p>
    <w:p w14:paraId="42B2FF6E" w14:textId="1F19B79B" w:rsidR="00EC5EAE" w:rsidRPr="00EC5EAE" w:rsidRDefault="00EC5EAE" w:rsidP="00EC5EAE">
      <w:pPr>
        <w:pStyle w:val="NoSpacing"/>
        <w:numPr>
          <w:ilvl w:val="0"/>
          <w:numId w:val="73"/>
        </w:numPr>
        <w:rPr>
          <w:rFonts w:ascii="Times New Roman" w:hAnsi="Times New Roman" w:cs="Times New Roman"/>
          <w:sz w:val="24"/>
          <w:szCs w:val="24"/>
        </w:rPr>
      </w:pPr>
      <w:r w:rsidRPr="00EC5EAE">
        <w:rPr>
          <w:rFonts w:ascii="Times New Roman" w:hAnsi="Times New Roman" w:cs="Times New Roman"/>
          <w:sz w:val="24"/>
          <w:szCs w:val="24"/>
        </w:rPr>
        <w:t>Use of any investigational drug other than the study medication</w:t>
      </w:r>
      <w:r w:rsidR="0004285B">
        <w:rPr>
          <w:rFonts w:ascii="Times New Roman" w:hAnsi="Times New Roman" w:cs="Times New Roman"/>
          <w:sz w:val="24"/>
          <w:szCs w:val="24"/>
        </w:rPr>
        <w:t>.</w:t>
      </w:r>
    </w:p>
    <w:p w14:paraId="67FDF534" w14:textId="760E195E" w:rsidR="00EC5EAE" w:rsidRPr="00EC5EAE" w:rsidRDefault="00EC5EAE" w:rsidP="00EC5EAE">
      <w:pPr>
        <w:pStyle w:val="NoSpacing"/>
        <w:numPr>
          <w:ilvl w:val="0"/>
          <w:numId w:val="73"/>
        </w:numPr>
        <w:rPr>
          <w:rFonts w:ascii="Times New Roman" w:hAnsi="Times New Roman" w:cs="Times New Roman"/>
          <w:sz w:val="24"/>
          <w:szCs w:val="24"/>
        </w:rPr>
      </w:pPr>
      <w:r w:rsidRPr="00EC5EAE">
        <w:rPr>
          <w:rFonts w:ascii="Times New Roman" w:hAnsi="Times New Roman" w:cs="Times New Roman"/>
          <w:sz w:val="24"/>
          <w:szCs w:val="24"/>
        </w:rPr>
        <w:t>Intake of prohibited medication</w:t>
      </w:r>
      <w:r w:rsidR="0004285B">
        <w:rPr>
          <w:rFonts w:ascii="Times New Roman" w:hAnsi="Times New Roman" w:cs="Times New Roman"/>
          <w:sz w:val="24"/>
          <w:szCs w:val="24"/>
        </w:rPr>
        <w:t>.</w:t>
      </w:r>
    </w:p>
    <w:p w14:paraId="74764093" w14:textId="2870FD7E" w:rsidR="00C336D4" w:rsidRPr="0004285B" w:rsidRDefault="00EC5EAE" w:rsidP="0004285B">
      <w:pPr>
        <w:pStyle w:val="NoSpacing"/>
        <w:numPr>
          <w:ilvl w:val="0"/>
          <w:numId w:val="73"/>
        </w:numPr>
        <w:rPr>
          <w:rFonts w:ascii="Times New Roman" w:hAnsi="Times New Roman" w:cs="Times New Roman"/>
          <w:sz w:val="24"/>
          <w:szCs w:val="24"/>
        </w:rPr>
      </w:pPr>
      <w:r w:rsidRPr="00EC5EAE">
        <w:rPr>
          <w:rFonts w:ascii="Times New Roman" w:hAnsi="Times New Roman" w:cs="Times New Roman"/>
          <w:sz w:val="24"/>
          <w:szCs w:val="24"/>
        </w:rPr>
        <w:t>Subject withdraws consent or is lost to follow-up</w:t>
      </w:r>
      <w:r w:rsidR="0004285B">
        <w:rPr>
          <w:rFonts w:ascii="Times New Roman" w:hAnsi="Times New Roman" w:cs="Times New Roman"/>
          <w:sz w:val="24"/>
          <w:szCs w:val="24"/>
        </w:rPr>
        <w:t>.</w:t>
      </w:r>
    </w:p>
    <w:p w14:paraId="7798370B" w14:textId="477FF739" w:rsidR="00C336D4" w:rsidRDefault="004061D5" w:rsidP="00042FA1">
      <w:pPr>
        <w:pStyle w:val="BlockText"/>
        <w:ind w:left="0" w:right="0"/>
      </w:pPr>
      <w:r>
        <w:rPr>
          <w:i w:val="0"/>
        </w:rPr>
        <w:t xml:space="preserve">14.2 </w:t>
      </w:r>
      <w:r w:rsidR="0004285B">
        <w:rPr>
          <w:i w:val="0"/>
        </w:rPr>
        <w:t xml:space="preserve">The subject will be contacted immediately to schedule a withdrawal visit. If the subject cannot be reached on first attempt, second and third attempts to contact the subject via phone and email will be made. </w:t>
      </w:r>
    </w:p>
    <w:p w14:paraId="258493B7" w14:textId="71593F84" w:rsidR="00C336D4" w:rsidRDefault="00042FA1" w:rsidP="002E5BCD">
      <w:pPr>
        <w:pStyle w:val="NoSpacing"/>
        <w:jc w:val="both"/>
        <w:rPr>
          <w:rFonts w:ascii="Times New Roman" w:hAnsi="Times New Roman" w:cs="Times New Roman"/>
          <w:sz w:val="24"/>
          <w:szCs w:val="24"/>
        </w:rPr>
      </w:pPr>
      <w:r w:rsidRPr="002E5BCD">
        <w:rPr>
          <w:rFonts w:ascii="Times New Roman" w:hAnsi="Times New Roman" w:cs="Times New Roman"/>
          <w:sz w:val="24"/>
          <w:szCs w:val="24"/>
        </w:rPr>
        <w:t xml:space="preserve">14.3 </w:t>
      </w:r>
      <w:r w:rsidR="002E5BCD" w:rsidRPr="002E5BCD">
        <w:rPr>
          <w:rFonts w:ascii="Times New Roman" w:hAnsi="Times New Roman" w:cs="Times New Roman"/>
          <w:sz w:val="24"/>
          <w:szCs w:val="24"/>
        </w:rPr>
        <w:t xml:space="preserve">If and when a subject withdraws from the study for any reason, all efforts will be made to complete and follow the </w:t>
      </w:r>
      <w:r w:rsidR="002E5BCD" w:rsidRPr="002E5BCD">
        <w:rPr>
          <w:rFonts w:ascii="Times New Roman" w:hAnsi="Times New Roman" w:cs="Times New Roman"/>
          <w:color w:val="000000"/>
          <w:sz w:val="24"/>
          <w:szCs w:val="24"/>
        </w:rPr>
        <w:t>participant</w:t>
      </w:r>
      <w:r w:rsidR="002E5BCD" w:rsidRPr="002E5BCD">
        <w:rPr>
          <w:rFonts w:ascii="Times New Roman" w:hAnsi="Times New Roman" w:cs="Times New Roman"/>
          <w:sz w:val="24"/>
          <w:szCs w:val="24"/>
        </w:rPr>
        <w:t xml:space="preserve"> through observations as thoroughly as possible.  A final evaluation will be attempted in those willing to participate. Participants that have already taken any doses of teriflunomide will be asked to undergo the currently approved rapid elimination procedure (as outlined in 10.3.2) and will be notified if their values exceed 0.02 μg/mL after completion of the rapid elimination procedure.</w:t>
      </w:r>
    </w:p>
    <w:p w14:paraId="07E6B0EE" w14:textId="77777777" w:rsidR="002E5BCD" w:rsidRPr="002E5BCD" w:rsidRDefault="002E5BCD" w:rsidP="002E5BCD">
      <w:pPr>
        <w:pStyle w:val="NoSpacing"/>
        <w:jc w:val="both"/>
        <w:rPr>
          <w:rFonts w:ascii="Times New Roman" w:hAnsi="Times New Roman" w:cs="Times New Roman"/>
          <w:sz w:val="24"/>
          <w:szCs w:val="24"/>
        </w:rPr>
      </w:pPr>
    </w:p>
    <w:p w14:paraId="6A238A8D" w14:textId="77777777" w:rsidR="00C336D4" w:rsidRPr="00CA0CB1" w:rsidRDefault="00C336D4" w:rsidP="004A1A96">
      <w:pPr>
        <w:pStyle w:val="Heading1"/>
      </w:pPr>
      <w:bookmarkStart w:id="24" w:name="_Toc18064212"/>
      <w:r w:rsidRPr="00CA0CB1">
        <w:t xml:space="preserve">Risks to </w:t>
      </w:r>
      <w:r w:rsidRPr="00A01D71">
        <w:t>Subjects</w:t>
      </w:r>
      <w:bookmarkEnd w:id="24"/>
    </w:p>
    <w:p w14:paraId="70873077" w14:textId="3BED7C8B" w:rsidR="00C336D4" w:rsidRDefault="00042FA1" w:rsidP="00042FA1">
      <w:pPr>
        <w:pStyle w:val="BlockText"/>
        <w:ind w:left="0" w:right="0"/>
        <w:rPr>
          <w:i w:val="0"/>
          <w:iCs/>
        </w:rPr>
      </w:pPr>
      <w:r>
        <w:rPr>
          <w:i w:val="0"/>
        </w:rPr>
        <w:t xml:space="preserve">15.1 </w:t>
      </w:r>
      <w:r w:rsidR="00551855" w:rsidRPr="00551855">
        <w:rPr>
          <w:i w:val="0"/>
          <w:iCs/>
        </w:rPr>
        <w:t xml:space="preserve">Risks to this protocol include the potential harm that can be caused to </w:t>
      </w:r>
      <w:r w:rsidR="00551855">
        <w:rPr>
          <w:i w:val="0"/>
          <w:iCs/>
        </w:rPr>
        <w:t>subjects</w:t>
      </w:r>
      <w:r w:rsidR="00551855" w:rsidRPr="00551855">
        <w:rPr>
          <w:i w:val="0"/>
          <w:iCs/>
        </w:rPr>
        <w:t xml:space="preserve"> </w:t>
      </w:r>
      <w:r w:rsidR="00551855">
        <w:rPr>
          <w:i w:val="0"/>
          <w:iCs/>
        </w:rPr>
        <w:t>who</w:t>
      </w:r>
      <w:r w:rsidR="00551855" w:rsidRPr="00551855">
        <w:rPr>
          <w:i w:val="0"/>
          <w:iCs/>
        </w:rPr>
        <w:t xml:space="preserve"> become pregnant (or their partner) while taking teriflunomide. Teriflunomide is known to be teratogenic and can harm the growth of the fetus</w:t>
      </w:r>
      <w:r w:rsidR="00A158F8">
        <w:rPr>
          <w:i w:val="0"/>
          <w:iCs/>
        </w:rPr>
        <w:t>.</w:t>
      </w:r>
      <w:r w:rsidR="00551855" w:rsidRPr="00551855">
        <w:rPr>
          <w:i w:val="0"/>
          <w:iCs/>
        </w:rPr>
        <w:t xml:space="preserve"> Teriflunomide has also be</w:t>
      </w:r>
      <w:r w:rsidR="00A158F8">
        <w:rPr>
          <w:i w:val="0"/>
          <w:iCs/>
        </w:rPr>
        <w:t>en</w:t>
      </w:r>
      <w:r w:rsidR="00551855" w:rsidRPr="00551855">
        <w:rPr>
          <w:i w:val="0"/>
          <w:iCs/>
        </w:rPr>
        <w:t xml:space="preserve"> known to cause diarrhea, nausea, increased liver enzymes, alopecia (hair loss/thinning), influenza, and paresthesia. During the duration of the study, participants should abstain from alcohol and drug use due to potential risk of the teriflunomide on liver function.</w:t>
      </w:r>
      <w:r w:rsidR="00551855" w:rsidRPr="00551855">
        <w:rPr>
          <w:i w:val="0"/>
          <w:iCs/>
        </w:rPr>
        <w:br/>
      </w:r>
      <w:r w:rsidR="00551855" w:rsidRPr="00551855">
        <w:rPr>
          <w:i w:val="0"/>
          <w:iCs/>
        </w:rPr>
        <w:br/>
        <w:t xml:space="preserve">Colestipol hydrochloride is generally regarded as safe but can cause gastrointestinal discomfort. Common side effects of the two medications include nausea, vomiting, diarrhea, and constipation. Due to the nature of colestipol hydrochloride, </w:t>
      </w:r>
      <w:r w:rsidR="00551855">
        <w:rPr>
          <w:i w:val="0"/>
          <w:iCs/>
        </w:rPr>
        <w:t>subjects</w:t>
      </w:r>
      <w:r w:rsidR="00551855" w:rsidRPr="00551855">
        <w:rPr>
          <w:i w:val="0"/>
          <w:iCs/>
        </w:rPr>
        <w:t xml:space="preserve"> </w:t>
      </w:r>
      <w:r w:rsidR="00551855">
        <w:rPr>
          <w:i w:val="0"/>
          <w:iCs/>
        </w:rPr>
        <w:t>who</w:t>
      </w:r>
      <w:r w:rsidR="00551855" w:rsidRPr="00551855">
        <w:rPr>
          <w:i w:val="0"/>
          <w:iCs/>
        </w:rPr>
        <w:t xml:space="preserve"> are taking concomitant medications</w:t>
      </w:r>
      <w:r w:rsidR="00A158F8">
        <w:rPr>
          <w:i w:val="0"/>
          <w:iCs/>
        </w:rPr>
        <w:t>,</w:t>
      </w:r>
      <w:r w:rsidR="00551855" w:rsidRPr="00551855">
        <w:rPr>
          <w:i w:val="0"/>
          <w:iCs/>
        </w:rPr>
        <w:t xml:space="preserve"> including oral contraceptives and over the counter vitamins</w:t>
      </w:r>
      <w:r w:rsidR="00A158F8">
        <w:rPr>
          <w:i w:val="0"/>
          <w:iCs/>
        </w:rPr>
        <w:t>,</w:t>
      </w:r>
      <w:r w:rsidR="00551855" w:rsidRPr="00551855">
        <w:rPr>
          <w:i w:val="0"/>
          <w:iCs/>
        </w:rPr>
        <w:t xml:space="preserve"> should administer these at least 1 hour before or 4 hours following the administration of the </w:t>
      </w:r>
      <w:r w:rsidR="00E259D1">
        <w:rPr>
          <w:i w:val="0"/>
          <w:iCs/>
        </w:rPr>
        <w:t>study drug</w:t>
      </w:r>
      <w:r w:rsidR="00551855" w:rsidRPr="00551855">
        <w:rPr>
          <w:i w:val="0"/>
          <w:iCs/>
        </w:rPr>
        <w:t>.</w:t>
      </w:r>
    </w:p>
    <w:p w14:paraId="1B85240F" w14:textId="5200B48D" w:rsidR="00551855" w:rsidRDefault="00551855" w:rsidP="00042FA1">
      <w:pPr>
        <w:pStyle w:val="BlockText"/>
        <w:ind w:left="0" w:right="0"/>
        <w:rPr>
          <w:i w:val="0"/>
          <w:iCs/>
        </w:rPr>
      </w:pPr>
      <w:r>
        <w:rPr>
          <w:i w:val="0"/>
          <w:iCs/>
        </w:rPr>
        <w:t xml:space="preserve">Cholestyramine should not be used if the subject has a blockage in their digestive tract. </w:t>
      </w:r>
      <w:r w:rsidR="00A63515" w:rsidRPr="00551855">
        <w:rPr>
          <w:i w:val="0"/>
          <w:iCs/>
        </w:rPr>
        <w:t>Common side effects include nausea,</w:t>
      </w:r>
      <w:r w:rsidR="00A63515">
        <w:rPr>
          <w:i w:val="0"/>
          <w:iCs/>
        </w:rPr>
        <w:t xml:space="preserve"> stomach pain, loss of appetite</w:t>
      </w:r>
      <w:r w:rsidR="00A63515" w:rsidRPr="00551855">
        <w:rPr>
          <w:i w:val="0"/>
          <w:iCs/>
        </w:rPr>
        <w:t>, diarrhea, constipation</w:t>
      </w:r>
      <w:r w:rsidR="00A63515">
        <w:rPr>
          <w:i w:val="0"/>
          <w:iCs/>
        </w:rPr>
        <w:t xml:space="preserve">, bloating or gas, irritation of the tongue, or itching/irritation around the rectal area. </w:t>
      </w:r>
      <w:r>
        <w:rPr>
          <w:i w:val="0"/>
          <w:iCs/>
        </w:rPr>
        <w:t>Subjects</w:t>
      </w:r>
      <w:r w:rsidRPr="00551855">
        <w:rPr>
          <w:i w:val="0"/>
          <w:iCs/>
        </w:rPr>
        <w:t xml:space="preserve"> </w:t>
      </w:r>
      <w:r>
        <w:rPr>
          <w:i w:val="0"/>
          <w:iCs/>
        </w:rPr>
        <w:t xml:space="preserve">who </w:t>
      </w:r>
      <w:r w:rsidRPr="00551855">
        <w:rPr>
          <w:i w:val="0"/>
          <w:iCs/>
        </w:rPr>
        <w:t>are taking concomitant medications including oral contraceptives and over the counter vitamins should administer these at least 1 hour before or 4 hours following the administration of the</w:t>
      </w:r>
      <w:r w:rsidR="00E259D1">
        <w:rPr>
          <w:i w:val="0"/>
          <w:iCs/>
        </w:rPr>
        <w:t xml:space="preserve"> study drug.</w:t>
      </w:r>
    </w:p>
    <w:p w14:paraId="001B60DD" w14:textId="5595F7F8" w:rsidR="003B78C4" w:rsidRDefault="003B78C4" w:rsidP="00042FA1">
      <w:pPr>
        <w:pStyle w:val="BlockText"/>
        <w:ind w:left="0" w:right="0"/>
        <w:rPr>
          <w:i w:val="0"/>
          <w:iCs/>
        </w:rPr>
      </w:pPr>
      <w:r>
        <w:rPr>
          <w:i w:val="0"/>
          <w:iCs/>
        </w:rPr>
        <w:t xml:space="preserve">Risks associated with blood draws include bruising or minor pain at the puncture site. </w:t>
      </w:r>
    </w:p>
    <w:p w14:paraId="7556CE84" w14:textId="68D58D57" w:rsidR="003B78C4" w:rsidRPr="00551855" w:rsidRDefault="003B78C4" w:rsidP="00042FA1">
      <w:pPr>
        <w:pStyle w:val="BlockText"/>
        <w:ind w:left="0" w:right="0"/>
        <w:rPr>
          <w:i w:val="0"/>
          <w:iCs/>
        </w:rPr>
      </w:pPr>
      <w:r>
        <w:rPr>
          <w:i w:val="0"/>
          <w:iCs/>
        </w:rPr>
        <w:t>There is a risk of breach of confidentiality</w:t>
      </w:r>
      <w:r w:rsidR="008D5A46">
        <w:rPr>
          <w:i w:val="0"/>
          <w:iCs/>
        </w:rPr>
        <w:t>,</w:t>
      </w:r>
      <w:r w:rsidR="00A903E7">
        <w:rPr>
          <w:i w:val="0"/>
          <w:iCs/>
        </w:rPr>
        <w:t xml:space="preserve"> which will be mitigated as described in section 17.</w:t>
      </w:r>
    </w:p>
    <w:p w14:paraId="4287E4DD" w14:textId="003A8124" w:rsidR="00542C55" w:rsidRPr="008635E6" w:rsidRDefault="00042FA1" w:rsidP="00542C55">
      <w:pPr>
        <w:rPr>
          <w:color w:val="000000"/>
        </w:rPr>
      </w:pPr>
      <w:r w:rsidRPr="00542C55">
        <w:rPr>
          <w:iCs/>
        </w:rPr>
        <w:lastRenderedPageBreak/>
        <w:t>15.2</w:t>
      </w:r>
      <w:r>
        <w:rPr>
          <w:i/>
        </w:rPr>
        <w:t xml:space="preserve"> </w:t>
      </w:r>
      <w:r w:rsidR="00542C55" w:rsidRPr="008635E6">
        <w:rPr>
          <w:color w:val="000000"/>
        </w:rPr>
        <w:t xml:space="preserve">The effect of teriflunomide on human fetal development is </w:t>
      </w:r>
      <w:r w:rsidR="00542C55">
        <w:rPr>
          <w:color w:val="000000"/>
        </w:rPr>
        <w:t>un</w:t>
      </w:r>
      <w:r w:rsidR="00542C55" w:rsidRPr="008635E6">
        <w:rPr>
          <w:color w:val="000000"/>
        </w:rPr>
        <w:t xml:space="preserve">known and may be potentially harmful based on results from animal studies. Therefore, all </w:t>
      </w:r>
      <w:r w:rsidR="00542C55">
        <w:rPr>
          <w:color w:val="000000"/>
        </w:rPr>
        <w:t>subjects</w:t>
      </w:r>
      <w:r w:rsidR="00542C55" w:rsidRPr="008635E6">
        <w:rPr>
          <w:color w:val="000000"/>
        </w:rPr>
        <w:t xml:space="preserve"> must be fully informed as to this risk and provide written consent to not become pregnant or father a child during their participation in this study. If during the study, a female </w:t>
      </w:r>
      <w:r w:rsidR="0076747D">
        <w:rPr>
          <w:color w:val="000000"/>
        </w:rPr>
        <w:t>subject</w:t>
      </w:r>
      <w:r w:rsidR="00542C55" w:rsidRPr="008635E6">
        <w:rPr>
          <w:color w:val="000000"/>
        </w:rPr>
        <w:t xml:space="preserve"> becomes pregnant or decides to attempt to become pregnant</w:t>
      </w:r>
      <w:r w:rsidR="0076747D">
        <w:rPr>
          <w:color w:val="000000"/>
        </w:rPr>
        <w:t>,</w:t>
      </w:r>
      <w:r w:rsidR="00542C55" w:rsidRPr="008635E6">
        <w:rPr>
          <w:color w:val="000000"/>
        </w:rPr>
        <w:t xml:space="preserve"> or if a male </w:t>
      </w:r>
      <w:r w:rsidR="0076747D">
        <w:rPr>
          <w:color w:val="000000"/>
        </w:rPr>
        <w:t>subject</w:t>
      </w:r>
      <w:r w:rsidR="00542C55" w:rsidRPr="008635E6" w:rsidDel="0093407F">
        <w:rPr>
          <w:color w:val="000000"/>
        </w:rPr>
        <w:t xml:space="preserve"> </w:t>
      </w:r>
      <w:r w:rsidR="00542C55" w:rsidRPr="008635E6">
        <w:rPr>
          <w:color w:val="000000"/>
        </w:rPr>
        <w:t xml:space="preserve">decides to attempt to father a child, then she or he must stop the study medication and undergo the </w:t>
      </w:r>
      <w:r w:rsidR="00542C55" w:rsidRPr="008635E6">
        <w:rPr>
          <w:bCs/>
          <w:iCs/>
          <w:color w:val="000000"/>
        </w:rPr>
        <w:t xml:space="preserve">rapid elimination </w:t>
      </w:r>
      <w:r w:rsidR="00542C55" w:rsidRPr="008635E6">
        <w:rPr>
          <w:color w:val="000000"/>
        </w:rPr>
        <w:t>procedure.</w:t>
      </w:r>
    </w:p>
    <w:p w14:paraId="0D6E1336" w14:textId="77777777" w:rsidR="005561F9" w:rsidRDefault="005561F9" w:rsidP="00542C55">
      <w:pPr>
        <w:rPr>
          <w:color w:val="000000"/>
        </w:rPr>
      </w:pPr>
    </w:p>
    <w:p w14:paraId="7263C83A" w14:textId="135BC20E" w:rsidR="00542C55" w:rsidRPr="008635E6" w:rsidRDefault="00542C55" w:rsidP="00542C55">
      <w:pPr>
        <w:rPr>
          <w:color w:val="000000"/>
        </w:rPr>
      </w:pPr>
      <w:r w:rsidRPr="008635E6">
        <w:rPr>
          <w:color w:val="000000"/>
        </w:rPr>
        <w:t xml:space="preserve">Female </w:t>
      </w:r>
      <w:r>
        <w:rPr>
          <w:color w:val="000000"/>
        </w:rPr>
        <w:t>participants</w:t>
      </w:r>
      <w:r w:rsidRPr="008635E6" w:rsidDel="0093407F">
        <w:rPr>
          <w:color w:val="000000"/>
        </w:rPr>
        <w:t xml:space="preserve"> </w:t>
      </w:r>
      <w:r w:rsidRPr="008635E6">
        <w:rPr>
          <w:color w:val="000000"/>
        </w:rPr>
        <w:t xml:space="preserve">must not be breast feeding or pregnant (as confirmed by </w:t>
      </w:r>
      <w:r w:rsidR="0094615B">
        <w:rPr>
          <w:color w:val="000000"/>
        </w:rPr>
        <w:t>serum</w:t>
      </w:r>
      <w:r w:rsidRPr="008635E6">
        <w:rPr>
          <w:color w:val="000000"/>
        </w:rPr>
        <w:t xml:space="preserve"> pregnancy test) at the time of study entry and must agree to undergo </w:t>
      </w:r>
      <w:r w:rsidR="0094615B">
        <w:rPr>
          <w:color w:val="000000"/>
        </w:rPr>
        <w:t>serum</w:t>
      </w:r>
      <w:r w:rsidRPr="008635E6">
        <w:rPr>
          <w:color w:val="000000"/>
        </w:rPr>
        <w:t xml:space="preserve"> pregnancy testing throughout the study at each clinic visit. In addition, </w:t>
      </w:r>
      <w:r w:rsidR="0094615B">
        <w:rPr>
          <w:color w:val="000000"/>
        </w:rPr>
        <w:t xml:space="preserve">a serum </w:t>
      </w:r>
      <w:r w:rsidRPr="008635E6">
        <w:rPr>
          <w:color w:val="000000"/>
        </w:rPr>
        <w:t>pregnancy test should be conducted in case of an unexpected delay of menorrhea.</w:t>
      </w:r>
    </w:p>
    <w:p w14:paraId="16DB8981" w14:textId="77777777" w:rsidR="005561F9" w:rsidRDefault="005561F9" w:rsidP="00542C55">
      <w:pPr>
        <w:rPr>
          <w:color w:val="000000"/>
        </w:rPr>
      </w:pPr>
    </w:p>
    <w:p w14:paraId="79054005" w14:textId="14D13290" w:rsidR="00542C55" w:rsidRPr="008635E6" w:rsidRDefault="00542C55" w:rsidP="00542C55">
      <w:pPr>
        <w:rPr>
          <w:color w:val="000000"/>
        </w:rPr>
      </w:pPr>
      <w:r w:rsidRPr="008635E6">
        <w:rPr>
          <w:color w:val="000000"/>
        </w:rPr>
        <w:t>Definition of “woman not of child</w:t>
      </w:r>
      <w:r w:rsidR="005561F9">
        <w:rPr>
          <w:color w:val="000000"/>
        </w:rPr>
        <w:t>-</w:t>
      </w:r>
      <w:r w:rsidRPr="008635E6">
        <w:rPr>
          <w:color w:val="000000"/>
        </w:rPr>
        <w:t>bearing potential”:</w:t>
      </w:r>
    </w:p>
    <w:p w14:paraId="5975EFD5" w14:textId="46523775" w:rsidR="00542C55" w:rsidRPr="008635E6" w:rsidRDefault="00A23A39" w:rsidP="00542C55">
      <w:pPr>
        <w:rPr>
          <w:color w:val="000000"/>
        </w:rPr>
      </w:pPr>
      <w:r>
        <w:rPr>
          <w:rFonts w:eastAsia="SymbolMT"/>
          <w:color w:val="000000"/>
        </w:rPr>
        <w:t xml:space="preserve">- </w:t>
      </w:r>
      <w:r w:rsidR="00542C55" w:rsidRPr="008635E6">
        <w:rPr>
          <w:color w:val="000000"/>
        </w:rPr>
        <w:t xml:space="preserve">Be </w:t>
      </w:r>
      <w:r w:rsidR="005561F9" w:rsidRPr="008635E6">
        <w:rPr>
          <w:color w:val="000000"/>
        </w:rPr>
        <w:t>post-menopausal</w:t>
      </w:r>
      <w:r w:rsidR="00542C55" w:rsidRPr="008635E6">
        <w:rPr>
          <w:color w:val="000000"/>
        </w:rPr>
        <w:t xml:space="preserve"> (at least 2 years since last menses). </w:t>
      </w:r>
      <w:r w:rsidR="005561F9" w:rsidRPr="008635E6">
        <w:rPr>
          <w:color w:val="000000"/>
        </w:rPr>
        <w:t>Post-menopausal</w:t>
      </w:r>
      <w:r w:rsidR="00542C55" w:rsidRPr="008635E6">
        <w:rPr>
          <w:color w:val="000000"/>
        </w:rPr>
        <w:t xml:space="preserve"> status must be</w:t>
      </w:r>
    </w:p>
    <w:p w14:paraId="1C7EAD80" w14:textId="77777777" w:rsidR="00542C55" w:rsidRPr="008635E6" w:rsidRDefault="00542C55" w:rsidP="00542C55">
      <w:pPr>
        <w:rPr>
          <w:color w:val="000000"/>
        </w:rPr>
      </w:pPr>
      <w:r w:rsidRPr="008635E6">
        <w:rPr>
          <w:color w:val="000000"/>
        </w:rPr>
        <w:t>verified by a follicle FSH test at screening (Visit 1); or</w:t>
      </w:r>
    </w:p>
    <w:p w14:paraId="76D0EA90" w14:textId="5B2655D9" w:rsidR="005561F9" w:rsidRDefault="00A23A39" w:rsidP="00542C55">
      <w:pPr>
        <w:rPr>
          <w:color w:val="000000"/>
        </w:rPr>
      </w:pPr>
      <w:r>
        <w:rPr>
          <w:rFonts w:eastAsia="SymbolMT"/>
          <w:color w:val="000000"/>
        </w:rPr>
        <w:t xml:space="preserve">- </w:t>
      </w:r>
      <w:r w:rsidR="00542C55" w:rsidRPr="008635E6">
        <w:rPr>
          <w:color w:val="000000"/>
        </w:rPr>
        <w:t>Be surgically sterilized (hysterectomy, bilateral oophorectomy, bilateral salpingectomy or</w:t>
      </w:r>
      <w:r w:rsidR="005561F9">
        <w:rPr>
          <w:color w:val="000000"/>
        </w:rPr>
        <w:t xml:space="preserve"> </w:t>
      </w:r>
      <w:r w:rsidR="00542C55" w:rsidRPr="008635E6">
        <w:rPr>
          <w:color w:val="000000"/>
        </w:rPr>
        <w:t>bilateral tubal ligation). A woman of child</w:t>
      </w:r>
      <w:r w:rsidR="005561F9">
        <w:rPr>
          <w:color w:val="000000"/>
        </w:rPr>
        <w:t>-</w:t>
      </w:r>
      <w:r w:rsidR="00542C55" w:rsidRPr="008635E6">
        <w:rPr>
          <w:color w:val="000000"/>
        </w:rPr>
        <w:t>bearing potential (WOCBP) is any female who has experienced menarche and does not meet the criteria for “woman not of child</w:t>
      </w:r>
      <w:r w:rsidR="005561F9">
        <w:rPr>
          <w:color w:val="000000"/>
        </w:rPr>
        <w:t>-</w:t>
      </w:r>
      <w:r w:rsidR="00542C55" w:rsidRPr="008635E6">
        <w:rPr>
          <w:color w:val="000000"/>
        </w:rPr>
        <w:t xml:space="preserve">bearing potential”. </w:t>
      </w:r>
    </w:p>
    <w:p w14:paraId="34C2BFAA" w14:textId="77777777" w:rsidR="005561F9" w:rsidRDefault="005561F9" w:rsidP="00542C55">
      <w:pPr>
        <w:rPr>
          <w:color w:val="000000"/>
        </w:rPr>
      </w:pPr>
    </w:p>
    <w:p w14:paraId="2B80E1CB" w14:textId="47C391F2" w:rsidR="00542C55" w:rsidRPr="005561F9" w:rsidRDefault="00542C55" w:rsidP="00542C55">
      <w:r w:rsidRPr="008635E6">
        <w:t>Women of child</w:t>
      </w:r>
      <w:r w:rsidR="005561F9">
        <w:t>-</w:t>
      </w:r>
      <w:r w:rsidRPr="008635E6">
        <w:t>bearing potential and male subjects must agree that they will take means to</w:t>
      </w:r>
      <w:r w:rsidRPr="008635E6">
        <w:rPr>
          <w:color w:val="000000"/>
        </w:rPr>
        <w:t xml:space="preserve"> </w:t>
      </w:r>
      <w:r w:rsidRPr="008635E6">
        <w:t>reduce reproductive risk by agreeing to use a double method of contraception. Acceptable</w:t>
      </w:r>
      <w:r w:rsidRPr="008635E6">
        <w:rPr>
          <w:color w:val="000000"/>
        </w:rPr>
        <w:t xml:space="preserve"> </w:t>
      </w:r>
      <w:r w:rsidRPr="008635E6">
        <w:t>methods of contraception are defined for this protocol as:</w:t>
      </w:r>
    </w:p>
    <w:p w14:paraId="06ECB158" w14:textId="77777777" w:rsidR="005561F9" w:rsidRDefault="005561F9" w:rsidP="00542C55"/>
    <w:p w14:paraId="0A62EE48" w14:textId="32C7EE0B" w:rsidR="00542C55" w:rsidRPr="008635E6" w:rsidRDefault="00542C55" w:rsidP="00542C55">
      <w:r w:rsidRPr="008635E6">
        <w:t>For male</w:t>
      </w:r>
      <w:r w:rsidR="005561F9">
        <w:t xml:space="preserve"> subjects</w:t>
      </w:r>
      <w:r w:rsidRPr="008635E6">
        <w:t>:</w:t>
      </w:r>
    </w:p>
    <w:p w14:paraId="105C0937" w14:textId="77777777" w:rsidR="00542C55" w:rsidRPr="008635E6" w:rsidRDefault="00542C55" w:rsidP="00542C55">
      <w:r w:rsidRPr="008635E6">
        <w:t>- True abstinence: when this is in line with the preferred and usual lifestyle of the</w:t>
      </w:r>
    </w:p>
    <w:p w14:paraId="0FFA9195" w14:textId="11DB8E3D" w:rsidR="00542C55" w:rsidRPr="008635E6" w:rsidRDefault="00542C55" w:rsidP="00542C55">
      <w:r w:rsidRPr="008635E6">
        <w:t>subject (Periodic abstinence</w:t>
      </w:r>
      <w:r w:rsidR="005561F9">
        <w:t xml:space="preserve"> </w:t>
      </w:r>
      <w:r w:rsidRPr="008635E6">
        <w:t>and withdrawal are not acceptable methods of contraception)</w:t>
      </w:r>
    </w:p>
    <w:p w14:paraId="1AAFC82A" w14:textId="77777777" w:rsidR="00542C55" w:rsidRPr="008635E6" w:rsidRDefault="00542C55" w:rsidP="00542C55">
      <w:r w:rsidRPr="008635E6">
        <w:t>- Male sterilization (with the appropriate post vasectomy documentation of the absence</w:t>
      </w:r>
    </w:p>
    <w:p w14:paraId="649EAE39" w14:textId="77777777" w:rsidR="00542C55" w:rsidRPr="008635E6" w:rsidRDefault="00542C55" w:rsidP="00542C55">
      <w:r w:rsidRPr="008635E6">
        <w:t>of sperm in the ejaculate)</w:t>
      </w:r>
    </w:p>
    <w:p w14:paraId="368EBF09" w14:textId="77777777" w:rsidR="00542C55" w:rsidRPr="008635E6" w:rsidRDefault="00542C55" w:rsidP="00542C55">
      <w:r w:rsidRPr="008635E6">
        <w:t>- Use of condoms throughout the study, in addition to spermicides is recommended.</w:t>
      </w:r>
    </w:p>
    <w:p w14:paraId="16E63217" w14:textId="77777777" w:rsidR="005561F9" w:rsidRDefault="005561F9" w:rsidP="00542C55"/>
    <w:p w14:paraId="1D439F8D" w14:textId="1E96B68E" w:rsidR="00542C55" w:rsidRPr="008635E6" w:rsidRDefault="00542C55" w:rsidP="00542C55">
      <w:r w:rsidRPr="008635E6">
        <w:t>For women of child</w:t>
      </w:r>
      <w:r w:rsidR="005561F9">
        <w:t>-</w:t>
      </w:r>
      <w:r w:rsidRPr="008635E6">
        <w:t>bearing potential:</w:t>
      </w:r>
    </w:p>
    <w:p w14:paraId="464CB18C" w14:textId="77777777" w:rsidR="00542C55" w:rsidRPr="008635E6" w:rsidRDefault="00542C55" w:rsidP="00542C55">
      <w:r w:rsidRPr="008635E6">
        <w:t>- True abstinence: when this is in line with the preferred and usual lifestyle of the</w:t>
      </w:r>
    </w:p>
    <w:p w14:paraId="5E6883B2" w14:textId="19143392" w:rsidR="00542C55" w:rsidRPr="008635E6" w:rsidRDefault="00542C55" w:rsidP="00542C55">
      <w:r w:rsidRPr="008635E6">
        <w:t>subject (Periodic abstinence and withdrawal are not acceptable methods of contraception)</w:t>
      </w:r>
    </w:p>
    <w:p w14:paraId="6A91200C" w14:textId="370B2E66" w:rsidR="00542C55" w:rsidRPr="008635E6" w:rsidRDefault="005561F9" w:rsidP="00542C55">
      <w:r>
        <w:t>-</w:t>
      </w:r>
      <w:r w:rsidR="00542C55" w:rsidRPr="008635E6">
        <w:t>Highly effective oral contraceptives, such as biphasic and triphasic oral contraceptives</w:t>
      </w:r>
    </w:p>
    <w:p w14:paraId="5C876B23" w14:textId="77777777" w:rsidR="00542C55" w:rsidRPr="002117E7" w:rsidRDefault="00542C55" w:rsidP="00542C55">
      <w:r w:rsidRPr="002117E7">
        <w:t>are considered adequate. Progestogene only pills or “mini pills” which have</w:t>
      </w:r>
    </w:p>
    <w:p w14:paraId="52260471" w14:textId="77777777" w:rsidR="00542C55" w:rsidRPr="008635E6" w:rsidRDefault="00542C55" w:rsidP="00542C55">
      <w:r w:rsidRPr="002117E7">
        <w:t xml:space="preserve">demonstrated </w:t>
      </w:r>
      <w:r w:rsidRPr="002117E7">
        <w:rPr>
          <w:bCs/>
          <w:iCs/>
        </w:rPr>
        <w:t xml:space="preserve">efficacy </w:t>
      </w:r>
      <w:r w:rsidRPr="002117E7">
        <w:t>will be acceptable.</w:t>
      </w:r>
    </w:p>
    <w:p w14:paraId="17853E04" w14:textId="70ED931F" w:rsidR="00542C55" w:rsidRPr="008635E6" w:rsidRDefault="00542C55" w:rsidP="00542C55">
      <w:r w:rsidRPr="008635E6">
        <w:t>- Injectable hormones, hormonal implants, transdermal patches</w:t>
      </w:r>
      <w:r w:rsidR="005561F9">
        <w:t>,</w:t>
      </w:r>
    </w:p>
    <w:p w14:paraId="6DA8E68F" w14:textId="1A31592D" w:rsidR="00542C55" w:rsidRPr="008635E6" w:rsidRDefault="00542C55" w:rsidP="00542C55">
      <w:pPr>
        <w:rPr>
          <w:bCs/>
          <w:iCs/>
        </w:rPr>
      </w:pPr>
      <w:r w:rsidRPr="008635E6">
        <w:t>intrauterine device (IUD)</w:t>
      </w:r>
      <w:r w:rsidR="005561F9">
        <w:t xml:space="preserve">, </w:t>
      </w:r>
      <w:r w:rsidRPr="008635E6">
        <w:t>intrauterine systems (IUS)</w:t>
      </w:r>
      <w:r w:rsidR="005561F9">
        <w:t xml:space="preserve">, </w:t>
      </w:r>
      <w:r w:rsidRPr="008635E6">
        <w:rPr>
          <w:bCs/>
          <w:iCs/>
        </w:rPr>
        <w:t>or intravaginal ring</w:t>
      </w:r>
    </w:p>
    <w:p w14:paraId="03A1E441" w14:textId="77777777" w:rsidR="00542C55" w:rsidRPr="008635E6" w:rsidRDefault="00542C55" w:rsidP="00542C55">
      <w:r w:rsidRPr="008635E6">
        <w:rPr>
          <w:bCs/>
          <w:iCs/>
        </w:rPr>
        <w:t xml:space="preserve">(NuvaRing) </w:t>
      </w:r>
      <w:r w:rsidRPr="008635E6">
        <w:t>which have demonstrated efficacy comparable to high efficacy oral</w:t>
      </w:r>
    </w:p>
    <w:p w14:paraId="0D5B3EFE" w14:textId="55F08104" w:rsidR="00C336D4" w:rsidRPr="005561F9" w:rsidRDefault="00542C55" w:rsidP="005561F9">
      <w:r w:rsidRPr="008635E6">
        <w:t>contraceptives are adequate.</w:t>
      </w:r>
    </w:p>
    <w:p w14:paraId="008C5032" w14:textId="6E33E86D" w:rsidR="00C336D4" w:rsidRPr="00CA0CB1" w:rsidRDefault="00042FA1" w:rsidP="00042FA1">
      <w:pPr>
        <w:pStyle w:val="BlockText"/>
        <w:ind w:left="0" w:right="0"/>
      </w:pPr>
      <w:r>
        <w:rPr>
          <w:i w:val="0"/>
        </w:rPr>
        <w:t xml:space="preserve">15.3 </w:t>
      </w:r>
      <w:r w:rsidR="008D0378">
        <w:rPr>
          <w:i w:val="0"/>
          <w:iCs/>
        </w:rPr>
        <w:t>There may be a risk to the female partners of male subjects who become pregnant during the course of the study, as described in section 15.1. No other risks to others are anticipated.</w:t>
      </w:r>
    </w:p>
    <w:p w14:paraId="21ED514D" w14:textId="77777777" w:rsidR="00C336D4" w:rsidRPr="00CA0CB1" w:rsidRDefault="00C336D4" w:rsidP="004A1A96">
      <w:pPr>
        <w:pStyle w:val="Heading1"/>
      </w:pPr>
      <w:bookmarkStart w:id="25" w:name="_Toc18064213"/>
      <w:r w:rsidRPr="00CA0CB1">
        <w:lastRenderedPageBreak/>
        <w:t xml:space="preserve">Potential Benefits to </w:t>
      </w:r>
      <w:r w:rsidRPr="00A01D71">
        <w:t>Subjects</w:t>
      </w:r>
      <w:r w:rsidR="007A425D">
        <w:t xml:space="preserve"> or Others</w:t>
      </w:r>
      <w:bookmarkEnd w:id="25"/>
    </w:p>
    <w:p w14:paraId="2854C739" w14:textId="0A066717" w:rsidR="00C336D4" w:rsidRDefault="00042FA1" w:rsidP="00042FA1">
      <w:pPr>
        <w:pStyle w:val="BlockText"/>
        <w:ind w:left="0" w:right="0"/>
      </w:pPr>
      <w:r>
        <w:rPr>
          <w:i w:val="0"/>
        </w:rPr>
        <w:t xml:space="preserve">16.1 </w:t>
      </w:r>
      <w:r w:rsidR="000A34AA">
        <w:rPr>
          <w:i w:val="0"/>
        </w:rPr>
        <w:t xml:space="preserve">There </w:t>
      </w:r>
      <w:r w:rsidR="00E12044">
        <w:rPr>
          <w:i w:val="0"/>
        </w:rPr>
        <w:t xml:space="preserve">is no expected </w:t>
      </w:r>
      <w:r w:rsidR="000A34AA">
        <w:rPr>
          <w:i w:val="0"/>
        </w:rPr>
        <w:t xml:space="preserve">direct benefit to subjects enrolled in this study. </w:t>
      </w:r>
    </w:p>
    <w:p w14:paraId="576BA94A" w14:textId="3AA11EBB" w:rsidR="00C336D4" w:rsidRPr="00CA0CB1" w:rsidRDefault="00042FA1" w:rsidP="00042FA1">
      <w:pPr>
        <w:pStyle w:val="BlockText"/>
        <w:ind w:left="0" w:right="0"/>
      </w:pPr>
      <w:r>
        <w:rPr>
          <w:i w:val="0"/>
        </w:rPr>
        <w:t xml:space="preserve">16.2 </w:t>
      </w:r>
      <w:r w:rsidR="000A34AA">
        <w:rPr>
          <w:i w:val="0"/>
        </w:rPr>
        <w:t xml:space="preserve">If found to be efficacious, the results of this research may help patients with multiple sclerosis who take </w:t>
      </w:r>
      <w:r w:rsidR="000A34AA" w:rsidRPr="000A34AA">
        <w:rPr>
          <w:i w:val="0"/>
        </w:rPr>
        <w:t xml:space="preserve">teriflunomide and need a rapid elimination of the drug with less side effects </w:t>
      </w:r>
      <w:r w:rsidR="000A34AA">
        <w:rPr>
          <w:i w:val="0"/>
        </w:rPr>
        <w:t>than the</w:t>
      </w:r>
      <w:r w:rsidR="000A34AA" w:rsidRPr="000A34AA">
        <w:rPr>
          <w:i w:val="0"/>
        </w:rPr>
        <w:t xml:space="preserve"> currently</w:t>
      </w:r>
      <w:r w:rsidR="000A34AA">
        <w:rPr>
          <w:i w:val="0"/>
        </w:rPr>
        <w:t xml:space="preserve"> approved elimination procedure</w:t>
      </w:r>
      <w:r w:rsidR="000A34AA" w:rsidRPr="000A34AA">
        <w:rPr>
          <w:i w:val="0"/>
        </w:rPr>
        <w:t>.</w:t>
      </w:r>
    </w:p>
    <w:p w14:paraId="584A5A54" w14:textId="77777777" w:rsidR="00C336D4" w:rsidRPr="00CA0CB1" w:rsidRDefault="00C336D4" w:rsidP="004A1A96">
      <w:pPr>
        <w:pStyle w:val="Heading1"/>
      </w:pPr>
      <w:bookmarkStart w:id="26" w:name="_Toc18064214"/>
      <w:r w:rsidRPr="00CA0CB1">
        <w:t xml:space="preserve">Data </w:t>
      </w:r>
      <w:r w:rsidRPr="00A01D71">
        <w:t>Management</w:t>
      </w:r>
      <w:r>
        <w:t xml:space="preserve"> and Confidentiality</w:t>
      </w:r>
      <w:bookmarkEnd w:id="26"/>
    </w:p>
    <w:p w14:paraId="37603015" w14:textId="68B85792" w:rsidR="0073372B" w:rsidRPr="0073372B" w:rsidRDefault="00042FA1" w:rsidP="00A23A39">
      <w:pPr>
        <w:pStyle w:val="BlockText"/>
        <w:ind w:left="0" w:right="0"/>
        <w:rPr>
          <w:i w:val="0"/>
        </w:rPr>
      </w:pPr>
      <w:r>
        <w:rPr>
          <w:i w:val="0"/>
        </w:rPr>
        <w:t xml:space="preserve">17.1 </w:t>
      </w:r>
      <w:r w:rsidR="0073372B" w:rsidRPr="0073372B">
        <w:rPr>
          <w:i w:val="0"/>
        </w:rPr>
        <w:t>Baseline and demographic characteristics will be summarized by standard</w:t>
      </w:r>
      <w:r w:rsidR="00A23A39">
        <w:rPr>
          <w:i w:val="0"/>
        </w:rPr>
        <w:t xml:space="preserve"> </w:t>
      </w:r>
      <w:r w:rsidR="0073372B" w:rsidRPr="0073372B">
        <w:rPr>
          <w:i w:val="0"/>
        </w:rPr>
        <w:t>descriptive summaries (e.g. means and standard deviations for continuous variables such as age and percentages for categorical variables such as gender).  Non</w:t>
      </w:r>
      <w:r w:rsidR="0073372B">
        <w:rPr>
          <w:i w:val="0"/>
        </w:rPr>
        <w:t>-</w:t>
      </w:r>
      <w:r w:rsidR="0073372B" w:rsidRPr="0073372B">
        <w:rPr>
          <w:i w:val="0"/>
        </w:rPr>
        <w:t>parametric analyses will be used in situations where the variables are not normally distributed.</w:t>
      </w:r>
    </w:p>
    <w:p w14:paraId="4FAA1D60" w14:textId="392B1261" w:rsidR="0073372B" w:rsidRPr="0073372B" w:rsidRDefault="0073372B" w:rsidP="0073372B">
      <w:pPr>
        <w:pStyle w:val="BlockText"/>
        <w:ind w:left="0"/>
        <w:rPr>
          <w:i w:val="0"/>
        </w:rPr>
      </w:pPr>
      <w:r w:rsidRPr="0073372B">
        <w:rPr>
          <w:i w:val="0"/>
        </w:rPr>
        <w:t xml:space="preserve">There will be no stopping rules based on statistical criteria as no interim analysis is planned. For all analyses, </w:t>
      </w:r>
      <w:r w:rsidRPr="0073372B">
        <w:rPr>
          <w:rFonts w:hint="eastAsia"/>
          <w:i w:val="0"/>
        </w:rPr>
        <w:t>α</w:t>
      </w:r>
      <w:r w:rsidRPr="0073372B">
        <w:rPr>
          <w:i w:val="0"/>
        </w:rPr>
        <w:t xml:space="preserve"> will be set at 0.05. No correction for multiple comparisons is planned because this is a pilot study. </w:t>
      </w:r>
    </w:p>
    <w:p w14:paraId="51DC7E20" w14:textId="77777777" w:rsidR="0073372B" w:rsidRPr="0073372B" w:rsidRDefault="0073372B" w:rsidP="0073372B">
      <w:pPr>
        <w:pStyle w:val="BlockText"/>
        <w:ind w:left="0"/>
        <w:rPr>
          <w:i w:val="0"/>
        </w:rPr>
      </w:pPr>
      <w:r w:rsidRPr="0073372B">
        <w:rPr>
          <w:i w:val="0"/>
        </w:rPr>
        <w:t>All subjects entered into the study at Baseline will be included in the safety analysis. The frequencies of AEs by type, body system and severity will be summarized. SAEs will be described in detail.</w:t>
      </w:r>
    </w:p>
    <w:p w14:paraId="377833F7" w14:textId="446CD3AD" w:rsidR="00C336D4" w:rsidRPr="0073372B" w:rsidRDefault="0073372B" w:rsidP="0073372B">
      <w:pPr>
        <w:pStyle w:val="BlockText"/>
        <w:ind w:left="0"/>
        <w:rPr>
          <w:i w:val="0"/>
        </w:rPr>
      </w:pPr>
      <w:r w:rsidRPr="0073372B">
        <w:rPr>
          <w:i w:val="0"/>
        </w:rPr>
        <w:t>The quartile ranges will be reported for the teriflunomide concentrations at Day 28 and the average concentration decrease at Day 28 will be calculated with coefficients of variation. The decreasing trend of the teriflunomide concentrations will be illustrated over Day 22, Day 28, and Day 33.</w:t>
      </w:r>
    </w:p>
    <w:p w14:paraId="196E5057" w14:textId="7DCE7F49" w:rsidR="00C336D4" w:rsidRPr="005242B4" w:rsidRDefault="00042FA1" w:rsidP="00042FA1">
      <w:pPr>
        <w:pStyle w:val="BlockText"/>
        <w:ind w:left="0" w:right="0"/>
        <w:rPr>
          <w:i w:val="0"/>
          <w:iCs/>
        </w:rPr>
      </w:pPr>
      <w:r>
        <w:rPr>
          <w:i w:val="0"/>
        </w:rPr>
        <w:t xml:space="preserve">17.2 </w:t>
      </w:r>
      <w:r w:rsidR="0018404D">
        <w:rPr>
          <w:i w:val="0"/>
        </w:rPr>
        <w:t xml:space="preserve">Hard copy data including informed consents will be stored </w:t>
      </w:r>
      <w:r w:rsidR="005242B4">
        <w:rPr>
          <w:i w:val="0"/>
        </w:rPr>
        <w:t xml:space="preserve">in </w:t>
      </w:r>
      <w:r w:rsidR="0018404D">
        <w:rPr>
          <w:i w:val="0"/>
        </w:rPr>
        <w:t xml:space="preserve">the Principal Investigator’s locked office, in a locked storage cabinet. </w:t>
      </w:r>
      <w:r w:rsidR="005242B4">
        <w:rPr>
          <w:i w:val="0"/>
        </w:rPr>
        <w:t>Individual subject data will be stored in a study binder, one for each subject, which will be stored in the locked storage cabinet. The binder</w:t>
      </w:r>
      <w:r w:rsidR="00D23F14">
        <w:rPr>
          <w:i w:val="0"/>
        </w:rPr>
        <w:t>s</w:t>
      </w:r>
      <w:r w:rsidR="005242B4">
        <w:rPr>
          <w:i w:val="0"/>
        </w:rPr>
        <w:t xml:space="preserve"> and hard copy documents with the exception of the signed informed consents will be labelled with a unique subject ID. </w:t>
      </w:r>
      <w:r w:rsidR="00DC4FD2">
        <w:rPr>
          <w:i w:val="0"/>
        </w:rPr>
        <w:t xml:space="preserve">Binders will be removed from the cabinet as needed and will remain with a study team member at all times. </w:t>
      </w:r>
      <w:r w:rsidR="0018404D">
        <w:rPr>
          <w:i w:val="0"/>
        </w:rPr>
        <w:t xml:space="preserve">Electronic data will be entered into </w:t>
      </w:r>
      <w:r w:rsidR="005242B4">
        <w:rPr>
          <w:i w:val="0"/>
        </w:rPr>
        <w:t xml:space="preserve">a password protected file in </w:t>
      </w:r>
      <w:r w:rsidR="0018404D">
        <w:rPr>
          <w:i w:val="0"/>
        </w:rPr>
        <w:t xml:space="preserve">REDCap. </w:t>
      </w:r>
      <w:r w:rsidR="005242B4">
        <w:rPr>
          <w:i w:val="0"/>
        </w:rPr>
        <w:t xml:space="preserve">Only the study team will have access to the locked storage cabinet and the REDCap data. </w:t>
      </w:r>
    </w:p>
    <w:p w14:paraId="380CE9A1" w14:textId="6B116457" w:rsidR="00C336D4" w:rsidRDefault="00042FA1" w:rsidP="00042FA1">
      <w:pPr>
        <w:pStyle w:val="BlockText"/>
        <w:ind w:left="0" w:right="0"/>
      </w:pPr>
      <w:r>
        <w:rPr>
          <w:i w:val="0"/>
        </w:rPr>
        <w:t xml:space="preserve">17.3 </w:t>
      </w:r>
      <w:r w:rsidR="00053816">
        <w:rPr>
          <w:i w:val="0"/>
          <w:iCs/>
        </w:rPr>
        <w:t xml:space="preserve">All hard copy data will be verified against the data entered in REDCap on a weekly basis. </w:t>
      </w:r>
    </w:p>
    <w:p w14:paraId="50E88D4E" w14:textId="5D216BCE" w:rsidR="0062667A" w:rsidRDefault="00042FA1" w:rsidP="00DC69A6">
      <w:pPr>
        <w:pStyle w:val="BlockText"/>
        <w:ind w:left="0" w:right="0"/>
      </w:pPr>
      <w:r>
        <w:rPr>
          <w:i w:val="0"/>
        </w:rPr>
        <w:t xml:space="preserve">17.4 </w:t>
      </w:r>
      <w:r w:rsidR="00DC69A6">
        <w:rPr>
          <w:i w:val="0"/>
        </w:rPr>
        <w:t xml:space="preserve">Identifiers include names, contact information (phone numbers, email addresses, mailing addresses), and dates will be collected. All data will be stored for a minimum of 5 years after the study is closed with the IRB, or after 6 years from the date of HIPAA authorization, whichever is longer. Hard copy data will be destroyed via secure shredding using a HIPAA compliant shredding method used by USF. Electronic data will be permanently deleted from REDCap. Confidential data and PHI will not be disclosed outside of the study team except as required by law or as allowed by the consent (e.g. with the USF IRB or those who monitor the study). </w:t>
      </w:r>
    </w:p>
    <w:p w14:paraId="14B0779C" w14:textId="4671ACBC" w:rsidR="003178A8" w:rsidRDefault="0062667A" w:rsidP="0062667A">
      <w:pPr>
        <w:pStyle w:val="BlockText"/>
        <w:ind w:left="0" w:right="0"/>
      </w:pPr>
      <w:r>
        <w:rPr>
          <w:i w:val="0"/>
        </w:rPr>
        <w:t>17.5</w:t>
      </w:r>
    </w:p>
    <w:tbl>
      <w:tblPr>
        <w:tblpPr w:leftFromText="180" w:rightFromText="180" w:vertAnchor="text" w:horzAnchor="page" w:tblpX="1521" w:tblpY="213"/>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4505"/>
      </w:tblGrid>
      <w:tr w:rsidR="006E5EA4" w14:paraId="046B41E1" w14:textId="77777777" w:rsidTr="005D04DB">
        <w:trPr>
          <w:trHeight w:val="710"/>
        </w:trPr>
        <w:tc>
          <w:tcPr>
            <w:tcW w:w="5035" w:type="dxa"/>
            <w:vAlign w:val="center"/>
          </w:tcPr>
          <w:p w14:paraId="50E94C8F" w14:textId="68844E52" w:rsidR="006E5EA4" w:rsidRDefault="004E335B" w:rsidP="004A1A96">
            <w:sdt>
              <w:sdtPr>
                <w:id w:val="-178970946"/>
                <w14:checkbox>
                  <w14:checked w14:val="1"/>
                  <w14:checkedState w14:val="2612" w14:font="MS Gothic"/>
                  <w14:uncheckedState w14:val="2610" w14:font="MS Gothic"/>
                </w14:checkbox>
              </w:sdtPr>
              <w:sdtEndPr/>
              <w:sdtContent>
                <w:r w:rsidR="00DC69A6">
                  <w:rPr>
                    <w:rFonts w:ascii="MS Gothic" w:eastAsia="MS Gothic" w:hAnsi="MS Gothic" w:hint="eastAsia"/>
                  </w:rPr>
                  <w:t>☒</w:t>
                </w:r>
              </w:sdtContent>
            </w:sdt>
            <w:r w:rsidR="006E5EA4">
              <w:t>Obtaining Signed Authorization</w:t>
            </w:r>
          </w:p>
        </w:tc>
        <w:tc>
          <w:tcPr>
            <w:tcW w:w="4505" w:type="dxa"/>
            <w:vAlign w:val="center"/>
          </w:tcPr>
          <w:p w14:paraId="212ADCF4" w14:textId="4C6AD8A7" w:rsidR="006E5EA4" w:rsidRPr="00CD4011" w:rsidRDefault="004E335B" w:rsidP="004A1A96">
            <w:pPr>
              <w:ind w:left="256" w:hanging="256"/>
              <w:rPr>
                <w:rFonts w:asciiTheme="minorHAnsi" w:hAnsiTheme="minorHAnsi" w:cstheme="minorHAnsi"/>
              </w:rPr>
            </w:pPr>
            <w:sdt>
              <w:sdtPr>
                <w:id w:val="-1609733459"/>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6E5EA4">
              <w:t>Waiver of HIPAA Authorization for Recruitment/Screening Purposes Only</w:t>
            </w:r>
          </w:p>
        </w:tc>
      </w:tr>
      <w:tr w:rsidR="006E5EA4" w14:paraId="483CDC3E" w14:textId="77777777" w:rsidTr="005D04DB">
        <w:trPr>
          <w:trHeight w:val="737"/>
        </w:trPr>
        <w:tc>
          <w:tcPr>
            <w:tcW w:w="5035" w:type="dxa"/>
            <w:vAlign w:val="center"/>
          </w:tcPr>
          <w:p w14:paraId="21CB01EC" w14:textId="21AC16E7" w:rsidR="006E5EA4" w:rsidRDefault="004E335B" w:rsidP="004A1A96">
            <w:pPr>
              <w:ind w:left="240" w:hanging="240"/>
            </w:pPr>
            <w:sdt>
              <w:sdtPr>
                <w:id w:val="-51784250"/>
                <w14:checkbox>
                  <w14:checked w14:val="1"/>
                  <w14:checkedState w14:val="2612" w14:font="MS Gothic"/>
                  <w14:uncheckedState w14:val="2610" w14:font="MS Gothic"/>
                </w14:checkbox>
              </w:sdtPr>
              <w:sdtEndPr/>
              <w:sdtContent>
                <w:r w:rsidR="00AE1B52">
                  <w:rPr>
                    <w:rFonts w:ascii="MS Gothic" w:eastAsia="MS Gothic" w:hAnsi="MS Gothic" w:hint="eastAsia"/>
                  </w:rPr>
                  <w:t>☒</w:t>
                </w:r>
              </w:sdtContent>
            </w:sdt>
            <w:r w:rsidR="006E5EA4">
              <w:t>Obtaining Online or Verbal Authorization (Alteration of HIPAA Authorization)</w:t>
            </w:r>
          </w:p>
        </w:tc>
        <w:tc>
          <w:tcPr>
            <w:tcW w:w="4505" w:type="dxa"/>
            <w:vAlign w:val="center"/>
          </w:tcPr>
          <w:p w14:paraId="04158285" w14:textId="59A2488F" w:rsidR="006E5EA4" w:rsidRDefault="004E335B" w:rsidP="004A1A96">
            <w:sdt>
              <w:sdtPr>
                <w:id w:val="-312788233"/>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6E5EA4">
              <w:t>Data Use Agreement</w:t>
            </w:r>
          </w:p>
        </w:tc>
      </w:tr>
      <w:tr w:rsidR="006E5EA4" w14:paraId="0B2EFFC9" w14:textId="77777777" w:rsidTr="005D04DB">
        <w:tc>
          <w:tcPr>
            <w:tcW w:w="5035" w:type="dxa"/>
            <w:vAlign w:val="center"/>
          </w:tcPr>
          <w:p w14:paraId="61DA0BA4" w14:textId="37FA80C8" w:rsidR="006E5EA4" w:rsidRDefault="004E335B" w:rsidP="004A1A96">
            <w:pPr>
              <w:ind w:left="240" w:hanging="240"/>
            </w:pPr>
            <w:sdt>
              <w:sdtPr>
                <w:id w:val="1400864910"/>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6E5EA4">
              <w:t>Waiver of HIPAA Authorization for Entire Study</w:t>
            </w:r>
          </w:p>
        </w:tc>
        <w:tc>
          <w:tcPr>
            <w:tcW w:w="4505" w:type="dxa"/>
            <w:vAlign w:val="center"/>
          </w:tcPr>
          <w:p w14:paraId="04FD799C" w14:textId="34F41830" w:rsidR="006E5EA4" w:rsidRDefault="004E335B" w:rsidP="004A1A96">
            <w:sdt>
              <w:sdtPr>
                <w:id w:val="1507561502"/>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6E5EA4">
              <w:t>Business Associate Agreement</w:t>
            </w:r>
          </w:p>
        </w:tc>
      </w:tr>
    </w:tbl>
    <w:p w14:paraId="27A8113A" w14:textId="5E35ECEB" w:rsidR="00486A23" w:rsidRDefault="004D3289" w:rsidP="00486A23">
      <w:pPr>
        <w:pStyle w:val="List"/>
        <w:numPr>
          <w:ilvl w:val="0"/>
          <w:numId w:val="0"/>
        </w:numPr>
        <w:spacing w:after="120" w:afterAutospacing="0"/>
        <w:ind w:right="0"/>
      </w:pPr>
      <w:r>
        <w:rPr>
          <w:i w:val="0"/>
          <w:iCs/>
        </w:rPr>
        <w:t xml:space="preserve">Signed HIPAA authorization will be obtained via the informed consent process. During prescreening, verbal HIPAA authorization will be obtained over the phone prior to the collection of PHI. Identifiers collected via the phone screen will be entered directly into a prescreening form in REDCap, which is password protected. If the potential subject fails prescreening, identifiers will not be collected. If the potential subject declines to participate, identifiers will be destroyed </w:t>
      </w:r>
      <w:r w:rsidR="001B119E">
        <w:rPr>
          <w:i w:val="0"/>
          <w:iCs/>
        </w:rPr>
        <w:t xml:space="preserve">upon declination. If the potential subject signs consent, their name and email address will be </w:t>
      </w:r>
      <w:r w:rsidR="000F4470">
        <w:rPr>
          <w:i w:val="0"/>
          <w:iCs/>
        </w:rPr>
        <w:t xml:space="preserve">copied to a screening log in REDCap and removed from the prescreening form. </w:t>
      </w:r>
      <w:r w:rsidR="00246FCD">
        <w:rPr>
          <w:i w:val="0"/>
          <w:iCs/>
        </w:rPr>
        <w:t>Any remaining information on the prescreening form will be permanently deleted from REDCap</w:t>
      </w:r>
      <w:r w:rsidR="00403624" w:rsidRPr="00403624">
        <w:rPr>
          <w:i w:val="0"/>
          <w:iCs/>
        </w:rPr>
        <w:t xml:space="preserve"> </w:t>
      </w:r>
      <w:r w:rsidR="00403624">
        <w:rPr>
          <w:i w:val="0"/>
          <w:iCs/>
        </w:rPr>
        <w:t>when prescreening closes</w:t>
      </w:r>
      <w:r w:rsidR="00246FCD">
        <w:rPr>
          <w:i w:val="0"/>
          <w:iCs/>
        </w:rPr>
        <w:t>.</w:t>
      </w:r>
      <w:r w:rsidR="00486A23">
        <w:rPr>
          <w:i w:val="0"/>
          <w:iCs/>
        </w:rPr>
        <w:t xml:space="preserve"> PHI will not be reused/disclosed to any other person or entity except as required by law, for authorized oversight of the research, or for other research which use/disclosure of PHI would be permitted by the HIPAA privacy regulations. It is not practicable to obtain signed HIPAA authorization from potential subjects during prescreening as the</w:t>
      </w:r>
      <w:r w:rsidR="000F4470">
        <w:rPr>
          <w:i w:val="0"/>
          <w:iCs/>
        </w:rPr>
        <w:t xml:space="preserve"> </w:t>
      </w:r>
      <w:r w:rsidR="00486A23">
        <w:rPr>
          <w:i w:val="0"/>
          <w:iCs/>
        </w:rPr>
        <w:t xml:space="preserve">prescreening will occur over the phone. Identifiable information collected during prescreening (names, email addresses) will only be collected if the potential subject meets the eligibility criteria. Health information will not be recorded during prescreening but will be reviewed to confirm eligibility. </w:t>
      </w:r>
    </w:p>
    <w:p w14:paraId="2048A3E3" w14:textId="70652885" w:rsidR="0062667A" w:rsidRDefault="0062667A" w:rsidP="00486A23">
      <w:pPr>
        <w:pStyle w:val="List"/>
        <w:numPr>
          <w:ilvl w:val="0"/>
          <w:numId w:val="0"/>
        </w:numPr>
        <w:spacing w:before="0" w:beforeAutospacing="0" w:after="0" w:afterAutospacing="0" w:line="276" w:lineRule="auto"/>
        <w:ind w:right="0"/>
      </w:pPr>
    </w:p>
    <w:p w14:paraId="2540DF77" w14:textId="499F72B7" w:rsidR="00C336D4" w:rsidRPr="00AA2384" w:rsidRDefault="00C336D4" w:rsidP="004A1A96">
      <w:pPr>
        <w:pStyle w:val="Heading1"/>
      </w:pPr>
      <w:bookmarkStart w:id="27" w:name="_Toc18064215"/>
      <w:r w:rsidRPr="00AA2384">
        <w:t xml:space="preserve">Provisions to Monitor the Data to Ensure the </w:t>
      </w:r>
      <w:r w:rsidRPr="00A01D71">
        <w:t>Safety</w:t>
      </w:r>
      <w:r w:rsidRPr="00AA2384">
        <w:t xml:space="preserve"> of </w:t>
      </w:r>
      <w:r>
        <w:t>S</w:t>
      </w:r>
      <w:r w:rsidRPr="00AA2384">
        <w:t>ubjects</w:t>
      </w:r>
      <w:bookmarkEnd w:id="27"/>
    </w:p>
    <w:p w14:paraId="44C9929A" w14:textId="4C260499" w:rsidR="003178A8" w:rsidRPr="00BE59E1" w:rsidRDefault="0062667A" w:rsidP="00877FD7">
      <w:pPr>
        <w:pStyle w:val="BlockText"/>
        <w:ind w:left="0" w:right="0"/>
        <w:rPr>
          <w:i w:val="0"/>
        </w:rPr>
      </w:pPr>
      <w:r w:rsidRPr="00BE59E1">
        <w:rPr>
          <w:i w:val="0"/>
        </w:rPr>
        <w:t xml:space="preserve">18.1 </w:t>
      </w:r>
      <w:r w:rsidR="006345E2" w:rsidRPr="00BE59E1">
        <w:rPr>
          <w:i w:val="0"/>
        </w:rPr>
        <w:t>N/A</w:t>
      </w:r>
    </w:p>
    <w:p w14:paraId="6C9D38C9" w14:textId="463BCDC7" w:rsidR="00F438D7" w:rsidRPr="00BE59E1" w:rsidRDefault="00B64086" w:rsidP="00BE59E1">
      <w:pPr>
        <w:rPr>
          <w:rFonts w:ascii="Times New Roman" w:hAnsi="Times New Roman"/>
          <w:iCs/>
          <w:color w:val="000000"/>
          <w:shd w:val="clear" w:color="auto" w:fill="FFFFFF"/>
        </w:rPr>
      </w:pPr>
      <w:r w:rsidRPr="00BE59E1">
        <w:rPr>
          <w:rFonts w:ascii="Times New Roman" w:hAnsi="Times New Roman"/>
          <w:iCs/>
        </w:rPr>
        <w:t xml:space="preserve">18.2 </w:t>
      </w:r>
      <w:r w:rsidR="00AA4935" w:rsidRPr="00BE59E1">
        <w:rPr>
          <w:rFonts w:ascii="Times New Roman" w:hAnsi="Times New Roman"/>
          <w:iCs/>
        </w:rPr>
        <w:t xml:space="preserve">Adverse events and safety labs </w:t>
      </w:r>
      <w:r w:rsidR="00AA4935" w:rsidRPr="00BE59E1">
        <w:rPr>
          <w:rFonts w:ascii="Times New Roman" w:hAnsi="Times New Roman"/>
          <w:iCs/>
          <w:color w:val="000000"/>
          <w:shd w:val="clear" w:color="auto" w:fill="FFFFFF"/>
        </w:rPr>
        <w:t xml:space="preserve">will be reviewed at each visit by the Principal Investigator. </w:t>
      </w:r>
      <w:r w:rsidR="00F438D7" w:rsidRPr="00BE59E1">
        <w:rPr>
          <w:rFonts w:ascii="Times New Roman" w:hAnsi="Times New Roman"/>
          <w:iCs/>
          <w:color w:val="000000"/>
          <w:shd w:val="clear" w:color="auto" w:fill="FFFFFF"/>
        </w:rPr>
        <w:t>Additionally, subjects</w:t>
      </w:r>
      <w:r w:rsidR="00AA4935" w:rsidRPr="00BE59E1">
        <w:rPr>
          <w:rFonts w:ascii="Times New Roman" w:hAnsi="Times New Roman"/>
          <w:iCs/>
          <w:color w:val="000000"/>
          <w:shd w:val="clear" w:color="auto" w:fill="FFFFFF"/>
        </w:rPr>
        <w:t xml:space="preserve"> will be instructed to call </w:t>
      </w:r>
      <w:r w:rsidR="00F438D7" w:rsidRPr="00BE59E1">
        <w:rPr>
          <w:rFonts w:ascii="Times New Roman" w:hAnsi="Times New Roman"/>
          <w:iCs/>
          <w:color w:val="000000"/>
          <w:shd w:val="clear" w:color="auto" w:fill="FFFFFF"/>
        </w:rPr>
        <w:t>the study team to report</w:t>
      </w:r>
      <w:r w:rsidR="00AA4935" w:rsidRPr="00BE59E1">
        <w:rPr>
          <w:rFonts w:ascii="Times New Roman" w:hAnsi="Times New Roman"/>
          <w:iCs/>
          <w:color w:val="000000"/>
          <w:shd w:val="clear" w:color="auto" w:fill="FFFFFF"/>
        </w:rPr>
        <w:t xml:space="preserve"> new symptoms</w:t>
      </w:r>
      <w:r w:rsidR="00F438D7" w:rsidRPr="00BE59E1">
        <w:rPr>
          <w:rFonts w:ascii="Times New Roman" w:hAnsi="Times New Roman"/>
          <w:iCs/>
          <w:color w:val="000000"/>
          <w:shd w:val="clear" w:color="auto" w:fill="FFFFFF"/>
        </w:rPr>
        <w:t>/adverse events</w:t>
      </w:r>
      <w:r w:rsidR="00AA4935" w:rsidRPr="00BE59E1">
        <w:rPr>
          <w:rFonts w:ascii="Times New Roman" w:hAnsi="Times New Roman"/>
          <w:iCs/>
          <w:color w:val="000000"/>
          <w:shd w:val="clear" w:color="auto" w:fill="FFFFFF"/>
        </w:rPr>
        <w:t>.</w:t>
      </w:r>
      <w:r w:rsidR="00F438D7" w:rsidRPr="00BE59E1">
        <w:rPr>
          <w:rFonts w:ascii="Times New Roman" w:hAnsi="Times New Roman"/>
          <w:iCs/>
          <w:color w:val="000000"/>
          <w:shd w:val="clear" w:color="auto" w:fill="FFFFFF"/>
        </w:rPr>
        <w:t xml:space="preserve"> These adverse events will be recorded in the subject’s binder and in REDCap on cumulative adverse event log.</w:t>
      </w:r>
      <w:r w:rsidR="00AA4935" w:rsidRPr="00BE59E1">
        <w:rPr>
          <w:rFonts w:ascii="Times New Roman" w:hAnsi="Times New Roman"/>
          <w:iCs/>
          <w:color w:val="000000"/>
          <w:shd w:val="clear" w:color="auto" w:fill="FFFFFF"/>
        </w:rPr>
        <w:t xml:space="preserve"> </w:t>
      </w:r>
      <w:r w:rsidR="00BE59E1" w:rsidRPr="00BE59E1">
        <w:rPr>
          <w:rFonts w:ascii="Times New Roman" w:hAnsi="Times New Roman"/>
          <w:iCs/>
          <w:color w:val="000000"/>
          <w:shd w:val="clear" w:color="auto" w:fill="FFFFFF"/>
        </w:rPr>
        <w:t>If a serious adverse event is unresolved when a subject permanently discontinues the study, the subject will be followed until the event resolves or the clinical course is stabilized.</w:t>
      </w:r>
      <w:r w:rsidR="003071B2">
        <w:rPr>
          <w:rFonts w:ascii="Times New Roman" w:hAnsi="Times New Roman"/>
          <w:iCs/>
          <w:color w:val="000000"/>
          <w:shd w:val="clear" w:color="auto" w:fill="FFFFFF"/>
        </w:rPr>
        <w:t xml:space="preserve"> A MedWatch form will be completed as necessary for serious adverse events. </w:t>
      </w:r>
    </w:p>
    <w:p w14:paraId="0A90ECEF" w14:textId="21DE6A35" w:rsidR="00C336D4" w:rsidRDefault="00AA4935" w:rsidP="00877FD7">
      <w:pPr>
        <w:pStyle w:val="BlockText"/>
        <w:ind w:left="0" w:right="0"/>
        <w:rPr>
          <w:i w:val="0"/>
          <w:iCs/>
        </w:rPr>
      </w:pPr>
      <w:r w:rsidRPr="00BE59E1">
        <w:rPr>
          <w:i w:val="0"/>
          <w:iCs/>
          <w:color w:val="000000"/>
          <w:shd w:val="clear" w:color="auto" w:fill="FFFFFF"/>
        </w:rPr>
        <w:t>An independent safety monitoring physician (Robert</w:t>
      </w:r>
      <w:r>
        <w:rPr>
          <w:i w:val="0"/>
          <w:iCs/>
          <w:color w:val="000000"/>
          <w:shd w:val="clear" w:color="auto" w:fill="FFFFFF"/>
        </w:rPr>
        <w:t xml:space="preserve"> Moore, M.D.</w:t>
      </w:r>
      <w:r w:rsidRPr="00AA4935">
        <w:rPr>
          <w:i w:val="0"/>
          <w:iCs/>
          <w:color w:val="000000"/>
          <w:shd w:val="clear" w:color="auto" w:fill="FFFFFF"/>
        </w:rPr>
        <w:t xml:space="preserve">) will review safety labs and adverse events after the first 5 subjects are enrolled and then after the 15th and 30th subjects are enrolled. He will notify the study team if he </w:t>
      </w:r>
      <w:r>
        <w:rPr>
          <w:i w:val="0"/>
          <w:iCs/>
          <w:color w:val="000000"/>
          <w:shd w:val="clear" w:color="auto" w:fill="FFFFFF"/>
        </w:rPr>
        <w:t>determines that</w:t>
      </w:r>
      <w:r w:rsidRPr="00AA4935">
        <w:rPr>
          <w:i w:val="0"/>
          <w:iCs/>
          <w:color w:val="000000"/>
          <w:shd w:val="clear" w:color="auto" w:fill="FFFFFF"/>
        </w:rPr>
        <w:t xml:space="preserve"> the study must stop</w:t>
      </w:r>
      <w:r>
        <w:rPr>
          <w:i w:val="0"/>
          <w:iCs/>
          <w:color w:val="000000"/>
          <w:shd w:val="clear" w:color="auto" w:fill="FFFFFF"/>
        </w:rPr>
        <w:t xml:space="preserve"> for safety concerns</w:t>
      </w:r>
      <w:r w:rsidRPr="00AA4935">
        <w:rPr>
          <w:i w:val="0"/>
          <w:iCs/>
          <w:color w:val="000000"/>
          <w:shd w:val="clear" w:color="auto" w:fill="FFFFFF"/>
        </w:rPr>
        <w:t>.</w:t>
      </w:r>
      <w:r>
        <w:rPr>
          <w:i w:val="0"/>
          <w:iCs/>
          <w:color w:val="000000"/>
        </w:rPr>
        <w:t xml:space="preserve"> Dr. Moore</w:t>
      </w:r>
      <w:r w:rsidRPr="00AA4935">
        <w:rPr>
          <w:i w:val="0"/>
          <w:iCs/>
          <w:color w:val="000000"/>
          <w:shd w:val="clear" w:color="auto" w:fill="FFFFFF"/>
        </w:rPr>
        <w:t xml:space="preserve"> will be charged with the responsibility of determining if the trial needs to be stopped based on lab criteri</w:t>
      </w:r>
      <w:r>
        <w:rPr>
          <w:i w:val="0"/>
          <w:iCs/>
          <w:color w:val="000000"/>
          <w:shd w:val="clear" w:color="auto" w:fill="FFFFFF"/>
        </w:rPr>
        <w:t>a</w:t>
      </w:r>
      <w:r w:rsidRPr="00AA4935">
        <w:rPr>
          <w:i w:val="0"/>
          <w:iCs/>
          <w:color w:val="000000"/>
          <w:shd w:val="clear" w:color="auto" w:fill="FFFFFF"/>
        </w:rPr>
        <w:t xml:space="preserve"> and data from any unexpected adverse events. These unexpected adverse events will be promptly reported to the independent safety monitoring physician</w:t>
      </w:r>
      <w:r w:rsidRPr="00AA4935">
        <w:rPr>
          <w:i w:val="0"/>
          <w:iCs/>
        </w:rPr>
        <w:t>.</w:t>
      </w:r>
    </w:p>
    <w:p w14:paraId="774D5FFD" w14:textId="4FD729E3" w:rsidR="00AA4935" w:rsidRPr="0071718D" w:rsidRDefault="00AA4935" w:rsidP="00AA4935">
      <w:pPr>
        <w:pStyle w:val="NoSpacing"/>
        <w:rPr>
          <w:rFonts w:ascii="Times New Roman" w:hAnsi="Times New Roman" w:cs="Times New Roman"/>
          <w:bCs/>
          <w:sz w:val="24"/>
          <w:szCs w:val="24"/>
        </w:rPr>
      </w:pPr>
      <w:r>
        <w:rPr>
          <w:rFonts w:ascii="Times New Roman" w:hAnsi="Times New Roman" w:cs="Times New Roman"/>
          <w:bCs/>
          <w:sz w:val="24"/>
          <w:szCs w:val="24"/>
        </w:rPr>
        <w:t>Subjects</w:t>
      </w:r>
      <w:r w:rsidRPr="0071718D">
        <w:rPr>
          <w:rFonts w:ascii="Times New Roman" w:hAnsi="Times New Roman" w:cs="Times New Roman"/>
          <w:bCs/>
          <w:sz w:val="24"/>
          <w:szCs w:val="24"/>
        </w:rPr>
        <w:t xml:space="preserve"> will be withdrawn from the study if:</w:t>
      </w:r>
    </w:p>
    <w:p w14:paraId="6E685DAD" w14:textId="1D6E20AE" w:rsidR="00AA4935" w:rsidRPr="00AA4935" w:rsidRDefault="00AA4935" w:rsidP="00AA4935">
      <w:pPr>
        <w:pStyle w:val="NoSpacing"/>
        <w:numPr>
          <w:ilvl w:val="0"/>
          <w:numId w:val="74"/>
        </w:numPr>
        <w:tabs>
          <w:tab w:val="clear" w:pos="720"/>
        </w:tabs>
        <w:rPr>
          <w:rFonts w:ascii="Times New Roman" w:hAnsi="Times New Roman" w:cs="Times New Roman"/>
          <w:sz w:val="24"/>
          <w:szCs w:val="24"/>
        </w:rPr>
      </w:pPr>
      <w:r w:rsidRPr="00AA4935">
        <w:rPr>
          <w:rFonts w:ascii="Times New Roman" w:hAnsi="Times New Roman" w:cs="Times New Roman"/>
          <w:sz w:val="24"/>
          <w:szCs w:val="24"/>
        </w:rPr>
        <w:lastRenderedPageBreak/>
        <w:t xml:space="preserve">The Principal Investigator considers it would be in the best interests of the </w:t>
      </w:r>
      <w:r w:rsidRPr="00AA4935">
        <w:rPr>
          <w:rFonts w:ascii="Times New Roman" w:hAnsi="Times New Roman" w:cs="Times New Roman"/>
          <w:color w:val="000000"/>
          <w:sz w:val="24"/>
          <w:szCs w:val="24"/>
        </w:rPr>
        <w:t>participant</w:t>
      </w:r>
      <w:r w:rsidRPr="00AA4935">
        <w:rPr>
          <w:rFonts w:ascii="Times New Roman" w:hAnsi="Times New Roman" w:cs="Times New Roman"/>
          <w:sz w:val="24"/>
          <w:szCs w:val="24"/>
        </w:rPr>
        <w:t xml:space="preserve"> (e.g. adverse events, intercurrent illness or onset of new clinically significant condition)</w:t>
      </w:r>
    </w:p>
    <w:p w14:paraId="34DE9DED" w14:textId="7AD62B14" w:rsidR="00AA4935" w:rsidRPr="00AA4935" w:rsidRDefault="00AA4935" w:rsidP="00AA4935">
      <w:pPr>
        <w:pStyle w:val="NoSpacing"/>
        <w:numPr>
          <w:ilvl w:val="0"/>
          <w:numId w:val="74"/>
        </w:numPr>
        <w:tabs>
          <w:tab w:val="clear" w:pos="720"/>
        </w:tabs>
        <w:rPr>
          <w:rFonts w:ascii="Times New Roman" w:hAnsi="Times New Roman" w:cs="Times New Roman"/>
          <w:sz w:val="24"/>
          <w:szCs w:val="24"/>
        </w:rPr>
      </w:pPr>
      <w:r w:rsidRPr="00AA4935">
        <w:rPr>
          <w:rFonts w:ascii="Times New Roman" w:hAnsi="Times New Roman" w:cs="Times New Roman"/>
          <w:sz w:val="24"/>
          <w:szCs w:val="24"/>
        </w:rPr>
        <w:t xml:space="preserve">Female </w:t>
      </w:r>
      <w:r w:rsidRPr="00AA4935">
        <w:rPr>
          <w:rFonts w:ascii="Times New Roman" w:hAnsi="Times New Roman" w:cs="Times New Roman"/>
          <w:color w:val="000000"/>
          <w:sz w:val="24"/>
          <w:szCs w:val="24"/>
        </w:rPr>
        <w:t>participant</w:t>
      </w:r>
      <w:r w:rsidRPr="00AA4935">
        <w:rPr>
          <w:rFonts w:ascii="Times New Roman" w:hAnsi="Times New Roman" w:cs="Times New Roman"/>
          <w:sz w:val="24"/>
          <w:szCs w:val="24"/>
        </w:rPr>
        <w:t xml:space="preserve"> becomes pregnant</w:t>
      </w:r>
    </w:p>
    <w:p w14:paraId="5B5D4C1C" w14:textId="4654A4F3" w:rsidR="00AA4935" w:rsidRPr="00AA4935" w:rsidRDefault="00AA4935" w:rsidP="00AA4935">
      <w:pPr>
        <w:pStyle w:val="NoSpacing"/>
        <w:numPr>
          <w:ilvl w:val="0"/>
          <w:numId w:val="74"/>
        </w:numPr>
        <w:tabs>
          <w:tab w:val="clear" w:pos="720"/>
        </w:tabs>
        <w:rPr>
          <w:rFonts w:ascii="Times New Roman" w:hAnsi="Times New Roman" w:cs="Times New Roman"/>
          <w:sz w:val="24"/>
          <w:szCs w:val="24"/>
        </w:rPr>
      </w:pPr>
      <w:r w:rsidRPr="00AA4935">
        <w:rPr>
          <w:rFonts w:ascii="Times New Roman" w:hAnsi="Times New Roman" w:cs="Times New Roman"/>
          <w:sz w:val="24"/>
          <w:szCs w:val="24"/>
        </w:rPr>
        <w:t>Protocol violation</w:t>
      </w:r>
      <w:r>
        <w:rPr>
          <w:rFonts w:ascii="Times New Roman" w:hAnsi="Times New Roman" w:cs="Times New Roman"/>
          <w:sz w:val="24"/>
          <w:szCs w:val="24"/>
        </w:rPr>
        <w:t xml:space="preserve"> resulting in a safety concern</w:t>
      </w:r>
    </w:p>
    <w:p w14:paraId="253DC529" w14:textId="77777777" w:rsidR="00AA4935" w:rsidRPr="00AA4935" w:rsidRDefault="00AA4935" w:rsidP="00AA4935">
      <w:pPr>
        <w:pStyle w:val="NoSpacing"/>
        <w:numPr>
          <w:ilvl w:val="0"/>
          <w:numId w:val="74"/>
        </w:numPr>
        <w:rPr>
          <w:rFonts w:ascii="Times New Roman" w:hAnsi="Times New Roman" w:cs="Times New Roman"/>
          <w:sz w:val="24"/>
          <w:szCs w:val="24"/>
        </w:rPr>
      </w:pPr>
      <w:r w:rsidRPr="00AA4935">
        <w:rPr>
          <w:rFonts w:ascii="Times New Roman" w:hAnsi="Times New Roman" w:cs="Times New Roman"/>
          <w:sz w:val="24"/>
          <w:szCs w:val="24"/>
        </w:rPr>
        <w:t>Non-compliance to study medication regimen</w:t>
      </w:r>
    </w:p>
    <w:p w14:paraId="4DC17A74" w14:textId="77777777" w:rsidR="00AA4935" w:rsidRPr="00AA4935" w:rsidRDefault="00AA4935" w:rsidP="00AA4935">
      <w:pPr>
        <w:pStyle w:val="NoSpacing"/>
        <w:numPr>
          <w:ilvl w:val="0"/>
          <w:numId w:val="74"/>
        </w:numPr>
        <w:rPr>
          <w:rFonts w:ascii="Times New Roman" w:hAnsi="Times New Roman" w:cs="Times New Roman"/>
          <w:sz w:val="24"/>
          <w:szCs w:val="24"/>
        </w:rPr>
      </w:pPr>
      <w:r w:rsidRPr="00AA4935">
        <w:rPr>
          <w:rFonts w:ascii="Times New Roman" w:hAnsi="Times New Roman" w:cs="Times New Roman"/>
          <w:sz w:val="24"/>
          <w:szCs w:val="24"/>
        </w:rPr>
        <w:t>Use of any investigational drug other than the study medication</w:t>
      </w:r>
    </w:p>
    <w:p w14:paraId="128395B3" w14:textId="77777777" w:rsidR="00AA4935" w:rsidRPr="00AA4935" w:rsidRDefault="00AA4935" w:rsidP="00AA4935">
      <w:pPr>
        <w:pStyle w:val="NoSpacing"/>
        <w:numPr>
          <w:ilvl w:val="0"/>
          <w:numId w:val="74"/>
        </w:numPr>
        <w:rPr>
          <w:rFonts w:ascii="Times New Roman" w:hAnsi="Times New Roman" w:cs="Times New Roman"/>
          <w:sz w:val="24"/>
          <w:szCs w:val="24"/>
        </w:rPr>
      </w:pPr>
      <w:r w:rsidRPr="00AA4935">
        <w:rPr>
          <w:rFonts w:ascii="Times New Roman" w:hAnsi="Times New Roman" w:cs="Times New Roman"/>
          <w:sz w:val="24"/>
          <w:szCs w:val="24"/>
        </w:rPr>
        <w:t>Intake of prohibited medication</w:t>
      </w:r>
    </w:p>
    <w:p w14:paraId="5D12BA89" w14:textId="3848EA79" w:rsidR="00AA4935" w:rsidRDefault="00AA4935" w:rsidP="00AA4935">
      <w:pPr>
        <w:pStyle w:val="NoSpacing"/>
        <w:numPr>
          <w:ilvl w:val="0"/>
          <w:numId w:val="74"/>
        </w:numPr>
        <w:rPr>
          <w:rFonts w:ascii="Times New Roman" w:hAnsi="Times New Roman" w:cs="Times New Roman"/>
          <w:sz w:val="24"/>
          <w:szCs w:val="24"/>
        </w:rPr>
      </w:pPr>
      <w:r w:rsidRPr="00AA4935">
        <w:rPr>
          <w:rFonts w:ascii="Times New Roman" w:hAnsi="Times New Roman" w:cs="Times New Roman"/>
          <w:sz w:val="24"/>
          <w:szCs w:val="24"/>
        </w:rPr>
        <w:t>Subject withdraws consent or is lost to follow-up</w:t>
      </w:r>
    </w:p>
    <w:p w14:paraId="605808E2" w14:textId="2C59B9A4" w:rsidR="00AA4935" w:rsidRDefault="00AA4935" w:rsidP="00AA4935">
      <w:pPr>
        <w:pStyle w:val="NoSpacing"/>
        <w:rPr>
          <w:rFonts w:ascii="Times New Roman" w:hAnsi="Times New Roman" w:cs="Times New Roman"/>
          <w:sz w:val="24"/>
          <w:szCs w:val="24"/>
        </w:rPr>
      </w:pPr>
    </w:p>
    <w:p w14:paraId="37F2C3C6" w14:textId="526896AA" w:rsidR="00AA4935" w:rsidRDefault="00AA4935" w:rsidP="009F0B90">
      <w:pPr>
        <w:pStyle w:val="NoSpacing"/>
        <w:rPr>
          <w:rFonts w:ascii="Times New Roman" w:hAnsi="Times New Roman" w:cs="Times New Roman"/>
          <w:sz w:val="24"/>
          <w:szCs w:val="24"/>
        </w:rPr>
      </w:pPr>
      <w:r>
        <w:rPr>
          <w:rFonts w:ascii="Times New Roman" w:hAnsi="Times New Roman" w:cs="Times New Roman"/>
          <w:sz w:val="24"/>
          <w:szCs w:val="24"/>
        </w:rPr>
        <w:t xml:space="preserve">The whole study will be stopped </w:t>
      </w:r>
      <w:r w:rsidR="007638C6" w:rsidRPr="007638C6">
        <w:rPr>
          <w:rFonts w:ascii="Times New Roman" w:hAnsi="Times New Roman" w:cs="Times New Roman"/>
          <w:sz w:val="24"/>
          <w:szCs w:val="24"/>
        </w:rPr>
        <w:t xml:space="preserve">in cases where </w:t>
      </w:r>
      <w:r w:rsidR="007638C6">
        <w:rPr>
          <w:rFonts w:ascii="Times New Roman" w:hAnsi="Times New Roman" w:cs="Times New Roman"/>
          <w:sz w:val="24"/>
          <w:szCs w:val="24"/>
        </w:rPr>
        <w:t>serious adverse events are</w:t>
      </w:r>
      <w:r w:rsidR="007638C6" w:rsidRPr="007638C6">
        <w:rPr>
          <w:rFonts w:ascii="Times New Roman" w:hAnsi="Times New Roman" w:cs="Times New Roman"/>
          <w:sz w:val="24"/>
          <w:szCs w:val="24"/>
        </w:rPr>
        <w:t xml:space="preserve"> experienced by 3 or mor</w:t>
      </w:r>
      <w:r w:rsidR="007638C6">
        <w:rPr>
          <w:rFonts w:ascii="Times New Roman" w:hAnsi="Times New Roman" w:cs="Times New Roman"/>
          <w:sz w:val="24"/>
          <w:szCs w:val="24"/>
        </w:rPr>
        <w:t xml:space="preserve">e subjects </w:t>
      </w:r>
      <w:r w:rsidR="007638C6" w:rsidRPr="007638C6">
        <w:rPr>
          <w:rFonts w:ascii="Times New Roman" w:hAnsi="Times New Roman" w:cs="Times New Roman"/>
          <w:sz w:val="24"/>
          <w:szCs w:val="24"/>
        </w:rPr>
        <w:t>and are not deemed unrelated to participation in the study by the P</w:t>
      </w:r>
      <w:r w:rsidR="007638C6">
        <w:rPr>
          <w:rFonts w:ascii="Times New Roman" w:hAnsi="Times New Roman" w:cs="Times New Roman"/>
          <w:sz w:val="24"/>
          <w:szCs w:val="24"/>
        </w:rPr>
        <w:t>rincipal Investigator or t</w:t>
      </w:r>
      <w:r w:rsidR="007638C6" w:rsidRPr="007638C6">
        <w:rPr>
          <w:rFonts w:ascii="Times New Roman" w:hAnsi="Times New Roman" w:cs="Times New Roman"/>
          <w:sz w:val="24"/>
          <w:szCs w:val="24"/>
        </w:rPr>
        <w:t>he independent safety monitoring physician</w:t>
      </w:r>
      <w:r w:rsidR="007638C6">
        <w:rPr>
          <w:rFonts w:ascii="Times New Roman" w:hAnsi="Times New Roman" w:cs="Times New Roman"/>
          <w:sz w:val="24"/>
          <w:szCs w:val="24"/>
        </w:rPr>
        <w:t>.</w:t>
      </w:r>
    </w:p>
    <w:p w14:paraId="1168D319" w14:textId="77777777" w:rsidR="009F0B90" w:rsidRPr="009F0B90" w:rsidRDefault="009F0B90" w:rsidP="009F0B90">
      <w:pPr>
        <w:pStyle w:val="NoSpacing"/>
        <w:rPr>
          <w:rFonts w:ascii="Times New Roman" w:hAnsi="Times New Roman" w:cs="Times New Roman"/>
          <w:sz w:val="24"/>
          <w:szCs w:val="24"/>
        </w:rPr>
      </w:pPr>
    </w:p>
    <w:p w14:paraId="539CADC2" w14:textId="77777777" w:rsidR="00D441ED" w:rsidRPr="00CA0CB1" w:rsidRDefault="00D441ED" w:rsidP="004A1A96">
      <w:pPr>
        <w:pStyle w:val="Heading1"/>
      </w:pPr>
      <w:bookmarkStart w:id="28" w:name="_Toc18064216"/>
      <w:bookmarkStart w:id="29" w:name="_Toc18064217"/>
      <w:bookmarkEnd w:id="28"/>
      <w:r w:rsidRPr="00CA0CB1">
        <w:t xml:space="preserve">Provisions to Protect the Privacy Interests of </w:t>
      </w:r>
      <w:r w:rsidRPr="00033F6D">
        <w:t>Subjects</w:t>
      </w:r>
      <w:bookmarkEnd w:id="29"/>
    </w:p>
    <w:p w14:paraId="6784BB6C" w14:textId="6EA672E7" w:rsidR="00263726" w:rsidRDefault="00B64086" w:rsidP="00877FD7">
      <w:pPr>
        <w:pStyle w:val="BlockText"/>
        <w:ind w:left="0" w:right="0"/>
        <w:rPr>
          <w:i w:val="0"/>
        </w:rPr>
      </w:pPr>
      <w:r>
        <w:rPr>
          <w:i w:val="0"/>
        </w:rPr>
        <w:t xml:space="preserve">19.1 </w:t>
      </w:r>
      <w:r w:rsidR="00263726">
        <w:rPr>
          <w:i w:val="0"/>
        </w:rPr>
        <w:t xml:space="preserve">All subject interactions will occur in a private room or lab setting. Subjects will be introduced to the various study team members by the Principal Investigator or study coordinator with whom they’ve already established a relationship through prescreening or the consent process. </w:t>
      </w:r>
    </w:p>
    <w:p w14:paraId="0EC057E0" w14:textId="25C090EE" w:rsidR="00D441ED" w:rsidRPr="00CA0CB1" w:rsidRDefault="004E4BAC" w:rsidP="00877FD7">
      <w:pPr>
        <w:pStyle w:val="BlockText"/>
        <w:ind w:left="0" w:right="0"/>
      </w:pPr>
      <w:r>
        <w:rPr>
          <w:i w:val="0"/>
        </w:rPr>
        <w:t>19.2</w:t>
      </w:r>
      <w:r w:rsidR="00010D19">
        <w:rPr>
          <w:i w:val="0"/>
        </w:rPr>
        <w:t xml:space="preserve"> The research team will obtain consent prior to receiving any information about subjects. </w:t>
      </w:r>
    </w:p>
    <w:p w14:paraId="03F7DBCF" w14:textId="77777777" w:rsidR="00D441ED" w:rsidRPr="00CA0CB1" w:rsidRDefault="00D441ED" w:rsidP="004A1A96">
      <w:pPr>
        <w:pStyle w:val="Heading1"/>
      </w:pPr>
      <w:bookmarkStart w:id="30" w:name="_Toc18064218"/>
      <w:r w:rsidRPr="00CA0CB1">
        <w:t xml:space="preserve">Compensation for Research-Related </w:t>
      </w:r>
      <w:r w:rsidRPr="00033F6D">
        <w:t>Injury</w:t>
      </w:r>
      <w:bookmarkEnd w:id="30"/>
    </w:p>
    <w:p w14:paraId="56B846DA" w14:textId="760883AA" w:rsidR="00D441ED" w:rsidRPr="00CA0CB1" w:rsidRDefault="00B64086" w:rsidP="00877FD7">
      <w:pPr>
        <w:pStyle w:val="BlockText"/>
        <w:ind w:left="0" w:right="0"/>
      </w:pPr>
      <w:r>
        <w:rPr>
          <w:i w:val="0"/>
        </w:rPr>
        <w:t xml:space="preserve">20.1 </w:t>
      </w:r>
      <w:r w:rsidR="00757F64">
        <w:rPr>
          <w:i w:val="0"/>
        </w:rPr>
        <w:t>There will be no compensation in the event of a research related injury.</w:t>
      </w:r>
    </w:p>
    <w:p w14:paraId="7682EAF0" w14:textId="13825D7F" w:rsidR="00D441ED" w:rsidRPr="00CA0CB1" w:rsidRDefault="00437B13" w:rsidP="004A1A96">
      <w:pPr>
        <w:pStyle w:val="Heading1"/>
      </w:pPr>
      <w:bookmarkStart w:id="31" w:name="_Toc18064219"/>
      <w:r>
        <w:t>Subject Costs and Compensation</w:t>
      </w:r>
      <w:bookmarkEnd w:id="31"/>
    </w:p>
    <w:p w14:paraId="177BFFE9" w14:textId="29CE9ED6" w:rsidR="00D441ED" w:rsidRDefault="004E4BAC" w:rsidP="00877FD7">
      <w:pPr>
        <w:pStyle w:val="BlockText"/>
        <w:ind w:left="0" w:right="0"/>
      </w:pPr>
      <w:r>
        <w:rPr>
          <w:i w:val="0"/>
        </w:rPr>
        <w:t xml:space="preserve">21.1 </w:t>
      </w:r>
      <w:r w:rsidR="00820C2D">
        <w:rPr>
          <w:i w:val="0"/>
        </w:rPr>
        <w:t>Subjects may incur some travel costs</w:t>
      </w:r>
      <w:r w:rsidR="008D5A46">
        <w:rPr>
          <w:i w:val="0"/>
        </w:rPr>
        <w:t>,</w:t>
      </w:r>
      <w:r w:rsidR="00820C2D">
        <w:rPr>
          <w:i w:val="0"/>
        </w:rPr>
        <w:t xml:space="preserve"> which will be covered by the compensation. </w:t>
      </w:r>
    </w:p>
    <w:p w14:paraId="2CD8C79B" w14:textId="612EC54D" w:rsidR="00437B13" w:rsidRPr="00820C2D" w:rsidRDefault="004E4BAC" w:rsidP="00877FD7">
      <w:pPr>
        <w:pStyle w:val="BlockText"/>
        <w:ind w:left="0" w:right="0"/>
        <w:rPr>
          <w:i w:val="0"/>
        </w:rPr>
      </w:pPr>
      <w:r>
        <w:rPr>
          <w:i w:val="0"/>
        </w:rPr>
        <w:t xml:space="preserve">21.2 </w:t>
      </w:r>
      <w:r w:rsidR="00820C2D">
        <w:rPr>
          <w:i w:val="0"/>
        </w:rPr>
        <w:t>Subjects will be</w:t>
      </w:r>
      <w:r w:rsidR="004D113B">
        <w:rPr>
          <w:i w:val="0"/>
        </w:rPr>
        <w:t xml:space="preserve"> given </w:t>
      </w:r>
      <w:r w:rsidR="007A1F1E">
        <w:rPr>
          <w:i w:val="0"/>
        </w:rPr>
        <w:t xml:space="preserve">a </w:t>
      </w:r>
      <w:r w:rsidR="00FA203D">
        <w:rPr>
          <w:i w:val="0"/>
        </w:rPr>
        <w:t xml:space="preserve">$50 </w:t>
      </w:r>
      <w:r w:rsidR="007A1F1E">
        <w:rPr>
          <w:i w:val="0"/>
        </w:rPr>
        <w:t>check</w:t>
      </w:r>
      <w:r w:rsidR="00FA203D">
        <w:rPr>
          <w:i w:val="0"/>
        </w:rPr>
        <w:t xml:space="preserve"> </w:t>
      </w:r>
      <w:r w:rsidR="00E6744C">
        <w:rPr>
          <w:i w:val="0"/>
        </w:rPr>
        <w:t xml:space="preserve">in person </w:t>
      </w:r>
      <w:r w:rsidR="00FA203D">
        <w:rPr>
          <w:i w:val="0"/>
        </w:rPr>
        <w:t>at the end of each completed visit</w:t>
      </w:r>
      <w:r w:rsidR="00E6744C">
        <w:rPr>
          <w:i w:val="0"/>
        </w:rPr>
        <w:t>, with the exception of</w:t>
      </w:r>
      <w:r w:rsidR="004D113B">
        <w:rPr>
          <w:i w:val="0"/>
        </w:rPr>
        <w:t xml:space="preserve"> the follow-up </w:t>
      </w:r>
      <w:r w:rsidR="00711BEC">
        <w:rPr>
          <w:i w:val="0"/>
        </w:rPr>
        <w:t xml:space="preserve">phone </w:t>
      </w:r>
      <w:r w:rsidR="004D113B">
        <w:rPr>
          <w:i w:val="0"/>
        </w:rPr>
        <w:t>call</w:t>
      </w:r>
      <w:r w:rsidR="00FA203D">
        <w:rPr>
          <w:i w:val="0"/>
        </w:rPr>
        <w:t xml:space="preserve">. </w:t>
      </w:r>
      <w:r w:rsidR="00E6744C">
        <w:rPr>
          <w:i w:val="0"/>
        </w:rPr>
        <w:t xml:space="preserve">Subjects will be mailed a $10 check after completion of the follow-up call. </w:t>
      </w:r>
      <w:r w:rsidR="00FA203D">
        <w:rPr>
          <w:i w:val="0"/>
        </w:rPr>
        <w:t xml:space="preserve">If a subject fails screening prior to labs being drawn, the subject will be compensated a prorated amount of $25. </w:t>
      </w:r>
      <w:r w:rsidR="000537AE">
        <w:rPr>
          <w:i w:val="0"/>
        </w:rPr>
        <w:t xml:space="preserve">Potential subjects will not be compensated for the phone prescreen. </w:t>
      </w:r>
      <w:r w:rsidR="00FA203D">
        <w:rPr>
          <w:i w:val="0"/>
        </w:rPr>
        <w:t xml:space="preserve">Subjects who withdraw will receive payment for each visit they </w:t>
      </w:r>
      <w:r w:rsidR="007051F5">
        <w:rPr>
          <w:i w:val="0"/>
        </w:rPr>
        <w:t>complete</w:t>
      </w:r>
      <w:r w:rsidR="00FA203D">
        <w:rPr>
          <w:i w:val="0"/>
        </w:rPr>
        <w:t xml:space="preserve">. </w:t>
      </w:r>
    </w:p>
    <w:p w14:paraId="0B1557E7" w14:textId="77777777" w:rsidR="00D441ED" w:rsidRPr="00CA0CB1" w:rsidRDefault="00D441ED" w:rsidP="004A1A96">
      <w:pPr>
        <w:pStyle w:val="Heading1"/>
      </w:pPr>
      <w:bookmarkStart w:id="32" w:name="_Toc18064220"/>
      <w:r w:rsidRPr="00CA0CB1">
        <w:t xml:space="preserve">Consent </w:t>
      </w:r>
      <w:r w:rsidRPr="00033F6D">
        <w:t>Process</w:t>
      </w:r>
      <w:bookmarkEnd w:id="32"/>
    </w:p>
    <w:p w14:paraId="4CD9EC9E" w14:textId="076F028A" w:rsidR="00331336" w:rsidRDefault="004E4BAC" w:rsidP="00877FD7">
      <w:pPr>
        <w:pStyle w:val="BlockText"/>
        <w:ind w:left="0" w:right="0"/>
      </w:pPr>
      <w:r w:rsidRPr="00877FD7">
        <w:rPr>
          <w:i w:val="0"/>
        </w:rPr>
        <w:t xml:space="preserve">22.1 </w:t>
      </w:r>
    </w:p>
    <w:tbl>
      <w:tblPr>
        <w:tblpPr w:leftFromText="180" w:rightFromText="180" w:vertAnchor="text" w:horzAnchor="page" w:tblpX="1886" w:tblpY="213"/>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860"/>
      </w:tblGrid>
      <w:tr w:rsidR="00F670E5" w14:paraId="3441B22F" w14:textId="77777777" w:rsidTr="005D04DB">
        <w:tc>
          <w:tcPr>
            <w:tcW w:w="4315" w:type="dxa"/>
            <w:vAlign w:val="center"/>
          </w:tcPr>
          <w:p w14:paraId="5F574FF9" w14:textId="04791976" w:rsidR="00F670E5" w:rsidRDefault="004E335B" w:rsidP="004A1A96">
            <w:pPr>
              <w:ind w:left="330" w:hanging="330"/>
            </w:pPr>
            <w:sdt>
              <w:sdtPr>
                <w:id w:val="-754122583"/>
                <w14:checkbox>
                  <w14:checked w14:val="1"/>
                  <w14:checkedState w14:val="2612" w14:font="MS Gothic"/>
                  <w14:uncheckedState w14:val="2610" w14:font="MS Gothic"/>
                </w14:checkbox>
              </w:sdtPr>
              <w:sdtEndPr/>
              <w:sdtContent>
                <w:r w:rsidR="00E61092">
                  <w:rPr>
                    <w:rFonts w:ascii="MS Gothic" w:eastAsia="MS Gothic" w:hAnsi="MS Gothic" w:hint="eastAsia"/>
                  </w:rPr>
                  <w:t>☒</w:t>
                </w:r>
              </w:sdtContent>
            </w:sdt>
            <w:r w:rsidR="00F670E5">
              <w:t>Obtaining Signed Consent (Subject or Legally Authorized Representative)</w:t>
            </w:r>
          </w:p>
        </w:tc>
        <w:tc>
          <w:tcPr>
            <w:tcW w:w="4860" w:type="dxa"/>
            <w:vAlign w:val="center"/>
          </w:tcPr>
          <w:p w14:paraId="33A3F6D9" w14:textId="1D68CC34" w:rsidR="00F670E5" w:rsidRPr="00CD4011" w:rsidRDefault="004E335B" w:rsidP="004A1A96">
            <w:pPr>
              <w:ind w:left="256" w:hanging="256"/>
              <w:rPr>
                <w:rFonts w:asciiTheme="minorHAnsi" w:hAnsiTheme="minorHAnsi" w:cstheme="minorHAnsi"/>
              </w:rPr>
            </w:pPr>
            <w:sdt>
              <w:sdtPr>
                <w:id w:val="-1335763265"/>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Obtaining Consent Online (</w:t>
            </w:r>
            <w:r w:rsidR="00557B69">
              <w:t xml:space="preserve">Waiver of Written Documentation of </w:t>
            </w:r>
            <w:r w:rsidR="003725A6">
              <w:t>Consent)</w:t>
            </w:r>
          </w:p>
        </w:tc>
      </w:tr>
      <w:tr w:rsidR="00F670E5" w14:paraId="7AE46E92" w14:textId="77777777" w:rsidTr="005D04DB">
        <w:tc>
          <w:tcPr>
            <w:tcW w:w="4315" w:type="dxa"/>
            <w:vAlign w:val="center"/>
          </w:tcPr>
          <w:p w14:paraId="575D7643" w14:textId="47906020" w:rsidR="00F670E5" w:rsidRDefault="004E335B" w:rsidP="004A1A96">
            <w:sdt>
              <w:sdtPr>
                <w:id w:val="1866250789"/>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F670E5">
              <w:t>Obtaining Signed Parental Permission</w:t>
            </w:r>
          </w:p>
        </w:tc>
        <w:tc>
          <w:tcPr>
            <w:tcW w:w="4860" w:type="dxa"/>
            <w:vAlign w:val="center"/>
          </w:tcPr>
          <w:p w14:paraId="378EC33B" w14:textId="293ADC95" w:rsidR="00F670E5" w:rsidRDefault="004E335B" w:rsidP="004A1A96">
            <w:pPr>
              <w:ind w:left="256" w:hanging="256"/>
            </w:pPr>
            <w:sdt>
              <w:sdtPr>
                <w:id w:val="-1830436692"/>
                <w14:checkbox>
                  <w14:checked w14:val="1"/>
                  <w14:checkedState w14:val="2612" w14:font="MS Gothic"/>
                  <w14:uncheckedState w14:val="2610" w14:font="MS Gothic"/>
                </w14:checkbox>
              </w:sdtPr>
              <w:sdtEndPr/>
              <w:sdtContent>
                <w:r w:rsidR="00AE1B52">
                  <w:rPr>
                    <w:rFonts w:ascii="MS Gothic" w:eastAsia="MS Gothic" w:hAnsi="MS Gothic" w:hint="eastAsia"/>
                  </w:rPr>
                  <w:t>☒</w:t>
                </w:r>
              </w:sdtContent>
            </w:sdt>
            <w:r w:rsidR="00F670E5">
              <w:t>Obtaining Verbal Consent (</w:t>
            </w:r>
            <w:r w:rsidR="00557B69">
              <w:t>Waiver of Written Documentation of Consent</w:t>
            </w:r>
            <w:r w:rsidR="00F670E5">
              <w:t>)</w:t>
            </w:r>
          </w:p>
        </w:tc>
      </w:tr>
      <w:tr w:rsidR="00F670E5" w14:paraId="758FFF49" w14:textId="77777777" w:rsidTr="005D04DB">
        <w:tc>
          <w:tcPr>
            <w:tcW w:w="4315" w:type="dxa"/>
            <w:vAlign w:val="center"/>
          </w:tcPr>
          <w:p w14:paraId="2872C376" w14:textId="3D915EFF" w:rsidR="00F670E5" w:rsidRDefault="004E335B" w:rsidP="004A1A96">
            <w:pPr>
              <w:ind w:left="240" w:hanging="240"/>
            </w:pPr>
            <w:sdt>
              <w:sdtPr>
                <w:id w:val="-2113738211"/>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557B69">
              <w:t>Obtaining Signed Assent for Children or Adults Unable to Consent</w:t>
            </w:r>
          </w:p>
        </w:tc>
        <w:tc>
          <w:tcPr>
            <w:tcW w:w="4860" w:type="dxa"/>
            <w:vAlign w:val="center"/>
          </w:tcPr>
          <w:p w14:paraId="55C15969" w14:textId="4214831B" w:rsidR="00F670E5" w:rsidRDefault="004E335B" w:rsidP="004A1A96">
            <w:pPr>
              <w:ind w:left="256" w:hanging="256"/>
            </w:pPr>
            <w:sdt>
              <w:sdtPr>
                <w:id w:val="163065702"/>
                <w14:checkbox>
                  <w14:checked w14:val="0"/>
                  <w14:checkedState w14:val="2612" w14:font="MS Gothic"/>
                  <w14:uncheckedState w14:val="2610" w14:font="MS Gothic"/>
                </w14:checkbox>
              </w:sdtPr>
              <w:sdtEndPr/>
              <w:sdtContent>
                <w:r w:rsidR="00E13A34">
                  <w:rPr>
                    <w:rFonts w:ascii="MS Gothic" w:eastAsia="MS Gothic" w:hAnsi="MS Gothic" w:hint="eastAsia"/>
                  </w:rPr>
                  <w:t>☐</w:t>
                </w:r>
              </w:sdtContent>
            </w:sdt>
            <w:r w:rsidR="00F670E5">
              <w:t>Waiving Consent and/or Parental Permission (Waiver of Consent Process)</w:t>
            </w:r>
          </w:p>
        </w:tc>
      </w:tr>
      <w:tr w:rsidR="00F670E5" w14:paraId="0D117959" w14:textId="77777777" w:rsidTr="005D04DB">
        <w:trPr>
          <w:trHeight w:val="413"/>
        </w:trPr>
        <w:tc>
          <w:tcPr>
            <w:tcW w:w="4315" w:type="dxa"/>
            <w:vAlign w:val="center"/>
          </w:tcPr>
          <w:p w14:paraId="3041942C" w14:textId="5AF79F13" w:rsidR="00F670E5" w:rsidRDefault="004E335B" w:rsidP="004A1A96">
            <w:pPr>
              <w:ind w:left="240" w:hanging="240"/>
            </w:pPr>
            <w:sdt>
              <w:sdtPr>
                <w:id w:val="1554427808"/>
                <w14:checkbox>
                  <w14:checked w14:val="0"/>
                  <w14:checkedState w14:val="2612" w14:font="MS Gothic"/>
                  <w14:uncheckedState w14:val="2610" w14:font="MS Gothic"/>
                </w14:checkbox>
              </w:sdtPr>
              <w:sdtEndPr/>
              <w:sdtContent>
                <w:r w:rsidR="007208BD">
                  <w:rPr>
                    <w:rFonts w:ascii="MS Gothic" w:eastAsia="MS Gothic" w:hAnsi="MS Gothic" w:hint="eastAsia"/>
                  </w:rPr>
                  <w:t>☐</w:t>
                </w:r>
              </w:sdtContent>
            </w:sdt>
            <w:r w:rsidR="00557B69">
              <w:t>Obtaining Verbal Assent for Children or Adults Unable to Consent</w:t>
            </w:r>
          </w:p>
        </w:tc>
        <w:tc>
          <w:tcPr>
            <w:tcW w:w="4860" w:type="dxa"/>
            <w:vAlign w:val="center"/>
          </w:tcPr>
          <w:p w14:paraId="5EDE312D" w14:textId="0FF5905C" w:rsidR="00F670E5" w:rsidRDefault="004E335B" w:rsidP="004A1A96">
            <w:pPr>
              <w:ind w:left="256" w:hanging="256"/>
            </w:pPr>
            <w:sdt>
              <w:sdtPr>
                <w:id w:val="-183213034"/>
                <w14:checkbox>
                  <w14:checked w14:val="0"/>
                  <w14:checkedState w14:val="2612" w14:font="MS Gothic"/>
                  <w14:uncheckedState w14:val="2610" w14:font="MS Gothic"/>
                </w14:checkbox>
              </w:sdtPr>
              <w:sdtEndPr/>
              <w:sdtContent>
                <w:r w:rsidR="005D04DB">
                  <w:rPr>
                    <w:rFonts w:ascii="MS Gothic" w:eastAsia="MS Gothic" w:hAnsi="MS Gothic" w:hint="eastAsia"/>
                  </w:rPr>
                  <w:t>☐</w:t>
                </w:r>
              </w:sdtContent>
            </w:sdt>
            <w:r w:rsidR="00F670E5">
              <w:t>Waiving Assent/Assent is Not Appropriate</w:t>
            </w:r>
          </w:p>
        </w:tc>
      </w:tr>
    </w:tbl>
    <w:p w14:paraId="516F57C1" w14:textId="375E2FAA" w:rsidR="006D38C0" w:rsidRPr="00640353" w:rsidRDefault="006D38C0" w:rsidP="00877FD7">
      <w:pPr>
        <w:pStyle w:val="BlockText"/>
        <w:ind w:left="0"/>
        <w:rPr>
          <w:i w:val="0"/>
          <w:iCs/>
        </w:rPr>
      </w:pPr>
      <w:r>
        <w:rPr>
          <w:i w:val="0"/>
        </w:rPr>
        <w:t>22.2</w:t>
      </w:r>
      <w:r w:rsidR="00640353">
        <w:rPr>
          <w:i w:val="0"/>
        </w:rPr>
        <w:t xml:space="preserve"> The consent process will take place in a private patient room in the USF Morsani Center for Advanced Health Care. Potential subjects will be sent the consent via email prior to their screening visit to review the consent at home. Subjects will be asked to review the consent again when they arrive for the screening visit, and to sign when all questions have been asked and answered. Significant consent changes will result in reconsent. </w:t>
      </w:r>
      <w:r w:rsidR="00640353">
        <w:rPr>
          <w:i w:val="0"/>
          <w:iCs/>
        </w:rPr>
        <w:t xml:space="preserve">Only the Principal Investigator and study coordinator will obtain consent. Potential subjects will be reminded of their rights before signing the consent. </w:t>
      </w:r>
    </w:p>
    <w:p w14:paraId="1EF597C4" w14:textId="1447B6FC" w:rsidR="006D38C0" w:rsidRPr="00AA722F" w:rsidRDefault="006D38C0" w:rsidP="00640353">
      <w:pPr>
        <w:pStyle w:val="BlockText"/>
        <w:ind w:left="0" w:right="0"/>
      </w:pPr>
      <w:r>
        <w:rPr>
          <w:i w:val="0"/>
        </w:rPr>
        <w:t xml:space="preserve">22.3 </w:t>
      </w:r>
      <w:r w:rsidR="00640353">
        <w:rPr>
          <w:i w:val="0"/>
        </w:rPr>
        <w:t xml:space="preserve">Verbal consent will be obtained for the </w:t>
      </w:r>
      <w:r w:rsidR="00322D0F">
        <w:rPr>
          <w:i w:val="0"/>
        </w:rPr>
        <w:t xml:space="preserve">phone </w:t>
      </w:r>
      <w:r w:rsidR="00640353">
        <w:rPr>
          <w:i w:val="0"/>
        </w:rPr>
        <w:t>prescreening portion of the study</w:t>
      </w:r>
      <w:r w:rsidR="00322D0F">
        <w:rPr>
          <w:i w:val="0"/>
        </w:rPr>
        <w:t xml:space="preserve"> only</w:t>
      </w:r>
      <w:r w:rsidR="00640353">
        <w:rPr>
          <w:i w:val="0"/>
        </w:rPr>
        <w:t xml:space="preserve">. The prescreening portion of the study is limited to a questionnaire which presents minimal risk to potential subjects. Written consent is not normally required for this type of questionnaire. The study coordinator will conduct the phone screen in a private office. If the potential subject would like to review the verbal consent prior to the prescreening call, the verbal consent document will be sent to the potential subject via email for review. </w:t>
      </w:r>
      <w:r w:rsidR="00322D0F">
        <w:rPr>
          <w:i w:val="0"/>
        </w:rPr>
        <w:t xml:space="preserve">All questions will be addressed prior to administration of the questionnaire. </w:t>
      </w:r>
      <w:r w:rsidR="00640353">
        <w:rPr>
          <w:i w:val="0"/>
        </w:rPr>
        <w:t xml:space="preserve">Potential subjects will be reminded of their rights before being asked to agree to participate in the prescreen. </w:t>
      </w:r>
    </w:p>
    <w:p w14:paraId="132E6B8E" w14:textId="0AC4C60C" w:rsidR="001579C6" w:rsidRDefault="006D38C0" w:rsidP="00877FD7">
      <w:pPr>
        <w:pStyle w:val="BlockText"/>
        <w:ind w:left="0" w:right="0"/>
      </w:pPr>
      <w:r>
        <w:rPr>
          <w:i w:val="0"/>
        </w:rPr>
        <w:t>22.4</w:t>
      </w:r>
      <w:r w:rsidR="00AA401D">
        <w:rPr>
          <w:i w:val="0"/>
        </w:rPr>
        <w:t xml:space="preserve"> N/A</w:t>
      </w:r>
    </w:p>
    <w:p w14:paraId="76E0F28F" w14:textId="3456C079" w:rsidR="00482AAD" w:rsidRDefault="006D38C0" w:rsidP="00877FD7">
      <w:pPr>
        <w:pStyle w:val="BlockText"/>
        <w:ind w:left="0" w:right="0"/>
      </w:pPr>
      <w:r>
        <w:rPr>
          <w:i w:val="0"/>
        </w:rPr>
        <w:t xml:space="preserve">22.5 </w:t>
      </w:r>
      <w:r w:rsidR="00AA401D">
        <w:rPr>
          <w:i w:val="0"/>
        </w:rPr>
        <w:t>N/A</w:t>
      </w:r>
    </w:p>
    <w:p w14:paraId="7CFF474F" w14:textId="77777777" w:rsidR="00AA401D" w:rsidRDefault="006D38C0" w:rsidP="00AA401D">
      <w:pPr>
        <w:pStyle w:val="BlockText"/>
        <w:ind w:left="0" w:right="0"/>
        <w:rPr>
          <w:i w:val="0"/>
        </w:rPr>
      </w:pPr>
      <w:r>
        <w:rPr>
          <w:i w:val="0"/>
        </w:rPr>
        <w:t>22.6</w:t>
      </w:r>
      <w:r w:rsidR="00AA401D" w:rsidRPr="00AA401D">
        <w:rPr>
          <w:i w:val="0"/>
        </w:rPr>
        <w:t xml:space="preserve"> </w:t>
      </w:r>
      <w:r w:rsidR="00AA401D">
        <w:rPr>
          <w:i w:val="0"/>
        </w:rPr>
        <w:t xml:space="preserve">N/A </w:t>
      </w:r>
    </w:p>
    <w:p w14:paraId="702CF3CB" w14:textId="08AD576B" w:rsidR="00482AAD" w:rsidRPr="00CA0CB1" w:rsidRDefault="006D38C0" w:rsidP="00AA401D">
      <w:pPr>
        <w:pStyle w:val="BlockText"/>
        <w:ind w:left="0" w:right="0"/>
      </w:pPr>
      <w:r>
        <w:rPr>
          <w:i w:val="0"/>
        </w:rPr>
        <w:t xml:space="preserve">22.7 </w:t>
      </w:r>
      <w:r w:rsidR="00AA401D">
        <w:rPr>
          <w:i w:val="0"/>
        </w:rPr>
        <w:t>N/A</w:t>
      </w:r>
    </w:p>
    <w:p w14:paraId="0791B0A1" w14:textId="77777777" w:rsidR="00E0318F" w:rsidRPr="00CA0CB1" w:rsidRDefault="00E0318F" w:rsidP="004A1A96">
      <w:pPr>
        <w:pStyle w:val="Heading1"/>
      </w:pPr>
      <w:bookmarkStart w:id="33" w:name="_Toc18064221"/>
      <w:r w:rsidRPr="00033F6D">
        <w:t>Setting</w:t>
      </w:r>
      <w:bookmarkEnd w:id="33"/>
    </w:p>
    <w:p w14:paraId="78D2A7BC" w14:textId="67850F42" w:rsidR="0047639F" w:rsidRPr="00CA0CB1" w:rsidRDefault="0047639F" w:rsidP="00132BC2">
      <w:pPr>
        <w:pStyle w:val="BlockText"/>
        <w:ind w:left="0" w:right="0"/>
      </w:pPr>
      <w:r>
        <w:rPr>
          <w:i w:val="0"/>
        </w:rPr>
        <w:t xml:space="preserve">23.1 </w:t>
      </w:r>
      <w:r w:rsidR="00132BC2">
        <w:rPr>
          <w:i w:val="0"/>
        </w:rPr>
        <w:t xml:space="preserve">The prescreen and follow-up call will be conducted over the phone. </w:t>
      </w:r>
      <w:r w:rsidR="00640353">
        <w:rPr>
          <w:i w:val="0"/>
        </w:rPr>
        <w:t>The stu</w:t>
      </w:r>
      <w:r w:rsidR="00132BC2">
        <w:rPr>
          <w:i w:val="0"/>
        </w:rPr>
        <w:t xml:space="preserve">dy </w:t>
      </w:r>
      <w:r w:rsidR="00640353">
        <w:rPr>
          <w:i w:val="0"/>
        </w:rPr>
        <w:t>coordinator</w:t>
      </w:r>
      <w:r w:rsidR="00132BC2">
        <w:rPr>
          <w:i w:val="0"/>
        </w:rPr>
        <w:t xml:space="preserve"> will complete these calls in the study team’s private offices in the USF Morsani Center for Advanced Health Care. All in person procedures will be performed in private patient rooms in the USF Morsani Center for Advanced Health Care.</w:t>
      </w:r>
    </w:p>
    <w:p w14:paraId="02BFBAE7" w14:textId="1290B35C" w:rsidR="00416A41" w:rsidRPr="00CA0CB1" w:rsidRDefault="00416A41" w:rsidP="00877FD7">
      <w:pPr>
        <w:pStyle w:val="List2"/>
        <w:numPr>
          <w:ilvl w:val="0"/>
          <w:numId w:val="0"/>
        </w:numPr>
        <w:spacing w:after="120" w:afterAutospacing="0"/>
        <w:ind w:left="1080" w:right="0"/>
      </w:pPr>
    </w:p>
    <w:sectPr w:rsidR="00416A41" w:rsidRPr="00CA0CB1" w:rsidSect="00877FD7">
      <w:headerReference w:type="default" r:id="rId13"/>
      <w:footerReference w:type="default" r:id="rId14"/>
      <w:head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34E3F" w14:textId="77777777" w:rsidR="004E335B" w:rsidRDefault="004E335B" w:rsidP="007C0AA4">
      <w:r>
        <w:separator/>
      </w:r>
    </w:p>
  </w:endnote>
  <w:endnote w:type="continuationSeparator" w:id="0">
    <w:p w14:paraId="5695020A" w14:textId="77777777" w:rsidR="004E335B" w:rsidRDefault="004E335B"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19167" w14:textId="651C2D47" w:rsidR="00A158F8" w:rsidRPr="000E3478" w:rsidRDefault="00A158F8" w:rsidP="000E3478">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4863D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863DB">
      <w:rPr>
        <w:rStyle w:val="PageNumber"/>
        <w:noProof/>
      </w:rPr>
      <w:t>17</w:t>
    </w:r>
    <w:r>
      <w:rPr>
        <w:rStyle w:val="PageNumber"/>
      </w:rPr>
      <w:fldChar w:fldCharType="end"/>
    </w:r>
    <w:r w:rsidRPr="00EE6AD4">
      <w:rPr>
        <w:rStyle w:val="PageNumber"/>
        <w:rFonts w:ascii="Times New Roman" w:hAnsi="Times New Roman"/>
        <w:sz w:val="16"/>
        <w:szCs w:val="16"/>
      </w:rPr>
      <w:tab/>
    </w:r>
    <w:r>
      <w:rPr>
        <w:rStyle w:val="PageNumber"/>
        <w:rFonts w:ascii="Times New Roman" w:hAnsi="Times New Roman"/>
        <w:sz w:val="16"/>
        <w:szCs w:val="16"/>
        <w:lang w:val="en-US"/>
      </w:rPr>
      <w:t xml:space="preserve">T503 </w:t>
    </w:r>
    <w:r w:rsidRPr="00EE6AD4">
      <w:rPr>
        <w:rStyle w:val="PageNumber"/>
        <w:rFonts w:ascii="Times New Roman" w:hAnsi="Times New Roman"/>
        <w:sz w:val="16"/>
        <w:szCs w:val="16"/>
      </w:rPr>
      <w:t>Revis</w:t>
    </w:r>
    <w:r>
      <w:rPr>
        <w:rStyle w:val="PageNumber"/>
        <w:rFonts w:ascii="Times New Roman" w:hAnsi="Times New Roman"/>
        <w:sz w:val="16"/>
        <w:szCs w:val="16"/>
      </w:rPr>
      <w:t>ed</w:t>
    </w:r>
    <w:r w:rsidRPr="00EE6AD4">
      <w:rPr>
        <w:rStyle w:val="PageNumber"/>
        <w:rFonts w:ascii="Times New Roman" w:hAnsi="Times New Roman"/>
        <w:sz w:val="16"/>
        <w:szCs w:val="16"/>
      </w:rPr>
      <w:t>:</w:t>
    </w:r>
    <w:r>
      <w:rPr>
        <w:rStyle w:val="PageNumber"/>
        <w:rFonts w:ascii="Times New Roman" w:hAnsi="Times New Roman"/>
        <w:sz w:val="16"/>
        <w:szCs w:val="16"/>
        <w:lang w:val="en-US"/>
      </w:rPr>
      <w:t xml:space="preserve"> August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4C603" w14:textId="77777777" w:rsidR="004E335B" w:rsidRDefault="004E335B" w:rsidP="007C0AA4">
      <w:r>
        <w:separator/>
      </w:r>
    </w:p>
  </w:footnote>
  <w:footnote w:type="continuationSeparator" w:id="0">
    <w:p w14:paraId="504A5212" w14:textId="77777777" w:rsidR="004E335B" w:rsidRDefault="004E335B"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CA340" w14:textId="272A7B38" w:rsidR="00A158F8" w:rsidRDefault="00A158F8" w:rsidP="00647502">
    <w:pPr>
      <w:pStyle w:val="Header"/>
    </w:pPr>
    <w:r>
      <w:t>SHORT PROTOCOL TITLE: REPOT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8B062" w14:textId="6D5269D9" w:rsidR="00A158F8" w:rsidRDefault="00A158F8">
    <w:pPr>
      <w:pStyle w:val="Header"/>
    </w:pPr>
    <w:r w:rsidRPr="00A10092">
      <w:rPr>
        <w:noProof/>
      </w:rPr>
      <w:drawing>
        <wp:anchor distT="0" distB="0" distL="114300" distR="114300" simplePos="0" relativeHeight="251658240" behindDoc="0" locked="0" layoutInCell="1" allowOverlap="1" wp14:anchorId="7CCA494A" wp14:editId="047473A1">
          <wp:simplePos x="0" y="0"/>
          <wp:positionH relativeFrom="column">
            <wp:posOffset>-806450</wp:posOffset>
          </wp:positionH>
          <wp:positionV relativeFrom="paragraph">
            <wp:posOffset>-271780</wp:posOffset>
          </wp:positionV>
          <wp:extent cx="2187551" cy="865316"/>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SCH\RSCH-All OoR\COMMUNICATIONS - OR&amp;I\Logos\1 - Logos - NEW USFRI logos\digital\png\usf-research-innovation-lightbg-rgb-h.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87551" cy="865316"/>
                  </a:xfrm>
                  <a:prstGeom prst="rect">
                    <a:avLst/>
                  </a:prstGeom>
                  <a:noFill/>
                  <a:ln>
                    <a:noFill/>
                  </a:ln>
                </pic:spPr>
              </pic:pic>
            </a:graphicData>
          </a:graphic>
        </wp:anchor>
      </w:drawing>
    </w:r>
  </w:p>
  <w:p w14:paraId="7D29DF2F" w14:textId="25684DF7" w:rsidR="00A158F8" w:rsidRDefault="00A158F8">
    <w:pPr>
      <w:pStyle w:val="Header"/>
    </w:pPr>
  </w:p>
  <w:p w14:paraId="5E64B11B" w14:textId="2E4D7A1D" w:rsidR="00A158F8" w:rsidRDefault="00A158F8">
    <w:pPr>
      <w:pStyle w:val="Header"/>
    </w:pPr>
  </w:p>
  <w:p w14:paraId="5046DD38" w14:textId="77777777" w:rsidR="00A158F8" w:rsidRDefault="00A15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6B8B572"/>
    <w:lvl w:ilvl="0">
      <w:start w:val="1"/>
      <w:numFmt w:val="bullet"/>
      <w:pStyle w:val="ListBullet4"/>
      <w:lvlText w:val=""/>
      <w:lvlJc w:val="left"/>
      <w:pPr>
        <w:tabs>
          <w:tab w:val="num" w:pos="2700"/>
        </w:tabs>
        <w:ind w:left="270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9FD5A14"/>
    <w:multiLevelType w:val="hybridMultilevel"/>
    <w:tmpl w:val="D1B4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B37356"/>
    <w:multiLevelType w:val="hybridMultilevel"/>
    <w:tmpl w:val="937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31C93"/>
    <w:multiLevelType w:val="hybridMultilevel"/>
    <w:tmpl w:val="BF2A554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0DF80FDA"/>
    <w:multiLevelType w:val="multilevel"/>
    <w:tmpl w:val="BCFA6C08"/>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576" w:firstLine="54"/>
      </w:pPr>
      <w:rPr>
        <w:rFonts w:hint="default"/>
        <w:i/>
      </w:rPr>
    </w:lvl>
    <w:lvl w:ilvl="2">
      <w:start w:val="1"/>
      <w:numFmt w:val="bullet"/>
      <w:lvlText w:val=""/>
      <w:lvlJc w:val="left"/>
      <w:pPr>
        <w:ind w:left="54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EDC3B05"/>
    <w:multiLevelType w:val="multilevel"/>
    <w:tmpl w:val="C3C2A0C6"/>
    <w:lvl w:ilvl="0">
      <w:start w:val="1"/>
      <w:numFmt w:val="decimal"/>
      <w:lvlText w:val="%1.0"/>
      <w:lvlJc w:val="left"/>
      <w:pPr>
        <w:ind w:left="2070" w:firstLine="990"/>
      </w:pPr>
      <w:rPr>
        <w:rFonts w:ascii="Times New Roman" w:eastAsia="Times New Roman" w:hAnsi="Times New Roman" w:cs="Times New Roman"/>
        <w:sz w:val="28"/>
        <w:szCs w:val="28"/>
      </w:rPr>
    </w:lvl>
    <w:lvl w:ilvl="1">
      <w:start w:val="1"/>
      <w:numFmt w:val="decimal"/>
      <w:lvlText w:val="%1.%2"/>
      <w:lvlJc w:val="left"/>
      <w:pPr>
        <w:ind w:left="1080" w:firstLine="720"/>
      </w:pPr>
    </w:lvl>
    <w:lvl w:ilvl="2">
      <w:start w:val="1"/>
      <w:numFmt w:val="bullet"/>
      <w:lvlText w:val="●"/>
      <w:lvlJc w:val="left"/>
      <w:pPr>
        <w:ind w:left="2520" w:firstLine="1980"/>
      </w:pPr>
      <w:rPr>
        <w:rFonts w:ascii="Arial" w:eastAsia="Arial" w:hAnsi="Arial" w:cs="Arial"/>
        <w:color w:val="000000"/>
      </w:rPr>
    </w:lvl>
    <w:lvl w:ilvl="3">
      <w:start w:val="1"/>
      <w:numFmt w:val="bullet"/>
      <w:lvlText w:val="o"/>
      <w:lvlJc w:val="left"/>
      <w:pPr>
        <w:ind w:left="3240" w:firstLine="2520"/>
      </w:pPr>
      <w:rPr>
        <w:rFonts w:ascii="Arial" w:eastAsia="Arial" w:hAnsi="Arial" w:cs="Arial"/>
        <w:color w:val="000000"/>
      </w:rPr>
    </w:lvl>
    <w:lvl w:ilvl="4">
      <w:start w:val="1"/>
      <w:numFmt w:val="lowerLetter"/>
      <w:lvlText w:val="%5."/>
      <w:lvlJc w:val="left"/>
      <w:pPr>
        <w:ind w:left="3960" w:firstLine="3240"/>
      </w:pPr>
    </w:lvl>
    <w:lvl w:ilvl="5">
      <w:start w:val="1"/>
      <w:numFmt w:val="lowerRoman"/>
      <w:lvlText w:val="%6."/>
      <w:lvlJc w:val="right"/>
      <w:pPr>
        <w:ind w:left="4680" w:firstLine="414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300"/>
      </w:pPr>
    </w:lvl>
  </w:abstractNum>
  <w:abstractNum w:abstractNumId="9" w15:restartNumberingAfterBreak="0">
    <w:nsid w:val="0F933599"/>
    <w:multiLevelType w:val="hybridMultilevel"/>
    <w:tmpl w:val="71EE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901600"/>
    <w:multiLevelType w:val="hybridMultilevel"/>
    <w:tmpl w:val="4E9402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5FC25A6"/>
    <w:multiLevelType w:val="hybridMultilevel"/>
    <w:tmpl w:val="F0243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717A28"/>
    <w:multiLevelType w:val="hybridMultilevel"/>
    <w:tmpl w:val="E2AA25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1DD5239F"/>
    <w:multiLevelType w:val="hybridMultilevel"/>
    <w:tmpl w:val="89E6D5C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0" w15:restartNumberingAfterBreak="0">
    <w:nsid w:val="2BC016B6"/>
    <w:multiLevelType w:val="hybridMultilevel"/>
    <w:tmpl w:val="E4F29D2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2E535BF8"/>
    <w:multiLevelType w:val="hybridMultilevel"/>
    <w:tmpl w:val="EBAC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A05C14"/>
    <w:multiLevelType w:val="hybridMultilevel"/>
    <w:tmpl w:val="8144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77D7F"/>
    <w:multiLevelType w:val="hybridMultilevel"/>
    <w:tmpl w:val="37D08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A7601C"/>
    <w:multiLevelType w:val="hybridMultilevel"/>
    <w:tmpl w:val="FBB620E2"/>
    <w:lvl w:ilvl="0" w:tplc="0409000F">
      <w:start w:val="1"/>
      <w:numFmt w:val="decimal"/>
      <w:lvlText w:val="%1."/>
      <w:lvlJc w:val="left"/>
      <w:pPr>
        <w:ind w:left="720" w:hanging="360"/>
      </w:pPr>
    </w:lvl>
    <w:lvl w:ilvl="1" w:tplc="DFDEEA54">
      <w:start w:val="12"/>
      <w:numFmt w:val="bullet"/>
      <w:lvlText w:val="-"/>
      <w:lvlJc w:val="left"/>
      <w:pPr>
        <w:ind w:left="1440" w:hanging="360"/>
      </w:pPr>
      <w:rPr>
        <w:rFonts w:ascii="NNFPLJ+TimesNewRoman" w:eastAsia="Times New Roman" w:hAnsi="NNFPLJ+TimesNew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7F15D7"/>
    <w:multiLevelType w:val="hybridMultilevel"/>
    <w:tmpl w:val="2BA824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32AE69D2"/>
    <w:multiLevelType w:val="hybridMultilevel"/>
    <w:tmpl w:val="E2AA25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6690A52"/>
    <w:multiLevelType w:val="hybridMultilevel"/>
    <w:tmpl w:val="3E1C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BE468C"/>
    <w:multiLevelType w:val="hybridMultilevel"/>
    <w:tmpl w:val="38DEFE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39721338"/>
    <w:multiLevelType w:val="multilevel"/>
    <w:tmpl w:val="F064CA48"/>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630" w:firstLine="0"/>
      </w:pPr>
      <w:rPr>
        <w:rFonts w:hint="default"/>
        <w:i/>
      </w:rPr>
    </w:lvl>
    <w:lvl w:ilvl="2">
      <w:start w:val="1"/>
      <w:numFmt w:val="bullet"/>
      <w:lvlText w:val="o"/>
      <w:lvlJc w:val="left"/>
      <w:pPr>
        <w:ind w:left="1620" w:hanging="180"/>
      </w:pPr>
      <w:rPr>
        <w:rFonts w:ascii="Courier New" w:hAnsi="Courier New" w:cs="Courier New"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A870927"/>
    <w:multiLevelType w:val="hybridMultilevel"/>
    <w:tmpl w:val="7EF604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7D63EC"/>
    <w:multiLevelType w:val="hybridMultilevel"/>
    <w:tmpl w:val="63A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DF0ED4"/>
    <w:multiLevelType w:val="hybridMultilevel"/>
    <w:tmpl w:val="34F4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612376"/>
    <w:multiLevelType w:val="multilevel"/>
    <w:tmpl w:val="5F84CE1E"/>
    <w:lvl w:ilvl="0">
      <w:start w:val="1"/>
      <w:numFmt w:val="bullet"/>
      <w:lvlText w:val=""/>
      <w:lvlJc w:val="left"/>
      <w:pPr>
        <w:ind w:left="720" w:hanging="720"/>
      </w:pPr>
      <w:rPr>
        <w:rFonts w:ascii="Symbol" w:hAnsi="Symbol" w:hint="default"/>
        <w:sz w:val="28"/>
        <w:szCs w:val="28"/>
      </w:rPr>
    </w:lvl>
    <w:lvl w:ilvl="1">
      <w:start w:val="1"/>
      <w:numFmt w:val="decimal"/>
      <w:lvlText w:val="%1.%2"/>
      <w:lvlJc w:val="left"/>
      <w:pPr>
        <w:ind w:left="630" w:firstLine="0"/>
      </w:pPr>
      <w:rPr>
        <w:rFonts w:hint="default"/>
        <w:i/>
      </w:rPr>
    </w:lvl>
    <w:lvl w:ilvl="2">
      <w:start w:val="1"/>
      <w:numFmt w:val="bullet"/>
      <w:lvlText w:val="o"/>
      <w:lvlJc w:val="left"/>
      <w:pPr>
        <w:ind w:left="1620" w:hanging="180"/>
      </w:pPr>
      <w:rPr>
        <w:rFonts w:ascii="Courier New" w:hAnsi="Courier New" w:cs="Courier New"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CA840FF"/>
    <w:multiLevelType w:val="hybridMultilevel"/>
    <w:tmpl w:val="957E7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9D3C9E"/>
    <w:multiLevelType w:val="hybridMultilevel"/>
    <w:tmpl w:val="6A78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C1144E"/>
    <w:multiLevelType w:val="hybridMultilevel"/>
    <w:tmpl w:val="8F647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7370F2"/>
    <w:multiLevelType w:val="hybridMultilevel"/>
    <w:tmpl w:val="01EE7D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C5464EE"/>
    <w:multiLevelType w:val="hybridMultilevel"/>
    <w:tmpl w:val="09D4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24699"/>
    <w:multiLevelType w:val="hybridMultilevel"/>
    <w:tmpl w:val="2454F5D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49" w15:restartNumberingAfterBreak="0">
    <w:nsid w:val="52B11864"/>
    <w:multiLevelType w:val="hybridMultilevel"/>
    <w:tmpl w:val="BD6081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A9D0B65"/>
    <w:multiLevelType w:val="hybridMultilevel"/>
    <w:tmpl w:val="B2A87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2B16AB"/>
    <w:multiLevelType w:val="multilevel"/>
    <w:tmpl w:val="CE10BB2E"/>
    <w:lvl w:ilvl="0">
      <w:start w:val="1"/>
      <w:numFmt w:val="bullet"/>
      <w:lvlText w:val=""/>
      <w:lvlJc w:val="left"/>
      <w:pPr>
        <w:ind w:left="720" w:hanging="720"/>
      </w:pPr>
      <w:rPr>
        <w:rFonts w:ascii="Symbol" w:hAnsi="Symbol" w:hint="default"/>
        <w:sz w:val="24"/>
        <w:szCs w:val="24"/>
      </w:rPr>
    </w:lvl>
    <w:lvl w:ilvl="1">
      <w:start w:val="1"/>
      <w:numFmt w:val="decimal"/>
      <w:lvlText w:val="%1.%2"/>
      <w:lvlJc w:val="left"/>
      <w:pPr>
        <w:ind w:left="630" w:firstLine="0"/>
      </w:pPr>
      <w:rPr>
        <w:rFonts w:hint="default"/>
        <w:i/>
      </w:rPr>
    </w:lvl>
    <w:lvl w:ilvl="2">
      <w:start w:val="1"/>
      <w:numFmt w:val="bullet"/>
      <w:lvlText w:val="o"/>
      <w:lvlJc w:val="left"/>
      <w:pPr>
        <w:ind w:left="1620" w:hanging="180"/>
      </w:pPr>
      <w:rPr>
        <w:rFonts w:ascii="Courier New" w:hAnsi="Courier New" w:cs="Courier New"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75572A"/>
    <w:multiLevelType w:val="hybridMultilevel"/>
    <w:tmpl w:val="543C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9914A0"/>
    <w:multiLevelType w:val="hybridMultilevel"/>
    <w:tmpl w:val="BFE2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E399F"/>
    <w:multiLevelType w:val="hybridMultilevel"/>
    <w:tmpl w:val="7F86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308581E"/>
    <w:multiLevelType w:val="multilevel"/>
    <w:tmpl w:val="644E637C"/>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576" w:firstLine="54"/>
      </w:pPr>
      <w:rPr>
        <w:rFonts w:hint="default"/>
        <w:i/>
      </w:rPr>
    </w:lvl>
    <w:lvl w:ilvl="2">
      <w:start w:val="1"/>
      <w:numFmt w:val="bullet"/>
      <w:lvlText w:val=""/>
      <w:lvlJc w:val="left"/>
      <w:pPr>
        <w:ind w:left="54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90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76725457"/>
    <w:multiLevelType w:val="hybridMultilevel"/>
    <w:tmpl w:val="749C1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485030"/>
    <w:multiLevelType w:val="hybridMultilevel"/>
    <w:tmpl w:val="F9CA6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76116FF"/>
    <w:multiLevelType w:val="hybridMultilevel"/>
    <w:tmpl w:val="B436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04693A"/>
    <w:multiLevelType w:val="hybridMultilevel"/>
    <w:tmpl w:val="353E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FFE0BD8"/>
    <w:multiLevelType w:val="hybridMultilevel"/>
    <w:tmpl w:val="17CA1A0E"/>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num w:numId="1">
    <w:abstractNumId w:val="64"/>
  </w:num>
  <w:num w:numId="2">
    <w:abstractNumId w:val="2"/>
  </w:num>
  <w:num w:numId="3">
    <w:abstractNumId w:val="1"/>
  </w:num>
  <w:num w:numId="4">
    <w:abstractNumId w:val="0"/>
  </w:num>
  <w:num w:numId="5">
    <w:abstractNumId w:val="15"/>
  </w:num>
  <w:num w:numId="6">
    <w:abstractNumId w:val="50"/>
  </w:num>
  <w:num w:numId="7">
    <w:abstractNumId w:val="19"/>
  </w:num>
  <w:num w:numId="8">
    <w:abstractNumId w:val="42"/>
  </w:num>
  <w:num w:numId="9">
    <w:abstractNumId w:val="46"/>
  </w:num>
  <w:num w:numId="10">
    <w:abstractNumId w:val="28"/>
  </w:num>
  <w:num w:numId="11">
    <w:abstractNumId w:val="4"/>
  </w:num>
  <w:num w:numId="12">
    <w:abstractNumId w:val="29"/>
  </w:num>
  <w:num w:numId="13">
    <w:abstractNumId w:val="41"/>
  </w:num>
  <w:num w:numId="14">
    <w:abstractNumId w:val="58"/>
  </w:num>
  <w:num w:numId="15">
    <w:abstractNumId w:val="65"/>
  </w:num>
  <w:num w:numId="16">
    <w:abstractNumId w:val="59"/>
  </w:num>
  <w:num w:numId="17">
    <w:abstractNumId w:val="45"/>
  </w:num>
  <w:num w:numId="18">
    <w:abstractNumId w:val="27"/>
  </w:num>
  <w:num w:numId="19">
    <w:abstractNumId w:val="43"/>
  </w:num>
  <w:num w:numId="20">
    <w:abstractNumId w:val="38"/>
  </w:num>
  <w:num w:numId="21">
    <w:abstractNumId w:val="13"/>
  </w:num>
  <w:num w:numId="22">
    <w:abstractNumId w:val="53"/>
  </w:num>
  <w:num w:numId="23">
    <w:abstractNumId w:val="57"/>
  </w:num>
  <w:num w:numId="24">
    <w:abstractNumId w:val="12"/>
  </w:num>
  <w:num w:numId="25">
    <w:abstractNumId w:val="14"/>
  </w:num>
  <w:num w:numId="26">
    <w:abstractNumId w:val="8"/>
  </w:num>
  <w:num w:numId="27">
    <w:abstractNumId w:val="17"/>
  </w:num>
  <w:num w:numId="28">
    <w:abstractNumId w:val="50"/>
  </w:num>
  <w:num w:numId="29">
    <w:abstractNumId w:val="5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9"/>
    <w:lvlOverride w:ilvl="0">
      <w:startOverride w:val="1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48"/>
  </w:num>
  <w:num w:numId="34">
    <w:abstractNumId w:val="66"/>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18"/>
  </w:num>
  <w:num w:numId="38">
    <w:abstractNumId w:val="37"/>
  </w:num>
  <w:num w:numId="39">
    <w:abstractNumId w:val="61"/>
  </w:num>
  <w:num w:numId="4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9"/>
  </w:num>
  <w:num w:numId="42">
    <w:abstractNumId w:val="32"/>
  </w:num>
  <w:num w:numId="43">
    <w:abstractNumId w:val="25"/>
  </w:num>
  <w:num w:numId="44">
    <w:abstractNumId w:val="6"/>
  </w:num>
  <w:num w:numId="45">
    <w:abstractNumId w:val="20"/>
  </w:num>
  <w:num w:numId="46">
    <w:abstractNumId w:val="5"/>
  </w:num>
  <w:num w:numId="47">
    <w:abstractNumId w:val="9"/>
  </w:num>
  <w:num w:numId="48">
    <w:abstractNumId w:val="35"/>
  </w:num>
  <w:num w:numId="49">
    <w:abstractNumId w:val="63"/>
  </w:num>
  <w:num w:numId="50">
    <w:abstractNumId w:val="55"/>
  </w:num>
  <w:num w:numId="51">
    <w:abstractNumId w:val="22"/>
  </w:num>
  <w:num w:numId="52">
    <w:abstractNumId w:val="10"/>
  </w:num>
  <w:num w:numId="53">
    <w:abstractNumId w:val="33"/>
  </w:num>
  <w:num w:numId="54">
    <w:abstractNumId w:val="44"/>
  </w:num>
  <w:num w:numId="55">
    <w:abstractNumId w:val="47"/>
  </w:num>
  <w:num w:numId="56">
    <w:abstractNumId w:val="36"/>
  </w:num>
  <w:num w:numId="57">
    <w:abstractNumId w:val="3"/>
  </w:num>
  <w:num w:numId="58">
    <w:abstractNumId w:val="34"/>
  </w:num>
  <w:num w:numId="59">
    <w:abstractNumId w:val="54"/>
  </w:num>
  <w:num w:numId="60">
    <w:abstractNumId w:val="39"/>
  </w:num>
  <w:num w:numId="61">
    <w:abstractNumId w:val="52"/>
  </w:num>
  <w:num w:numId="62">
    <w:abstractNumId w:val="30"/>
  </w:num>
  <w:num w:numId="63">
    <w:abstractNumId w:val="21"/>
  </w:num>
  <w:num w:numId="64">
    <w:abstractNumId w:val="11"/>
  </w:num>
  <w:num w:numId="65">
    <w:abstractNumId w:val="56"/>
  </w:num>
  <w:num w:numId="66">
    <w:abstractNumId w:val="62"/>
  </w:num>
  <w:num w:numId="67">
    <w:abstractNumId w:val="40"/>
  </w:num>
  <w:num w:numId="68">
    <w:abstractNumId w:val="60"/>
  </w:num>
  <w:num w:numId="69">
    <w:abstractNumId w:val="51"/>
  </w:num>
  <w:num w:numId="70">
    <w:abstractNumId w:val="24"/>
  </w:num>
  <w:num w:numId="71">
    <w:abstractNumId w:val="23"/>
  </w:num>
  <w:num w:numId="72">
    <w:abstractNumId w:val="7"/>
  </w:num>
  <w:num w:numId="73">
    <w:abstractNumId w:val="26"/>
  </w:num>
  <w:num w:numId="74">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2755E-7263-41B7-9B23-8E738C1B9A25}"/>
    <w:docVar w:name="dgnword-eventsink" w:val="186254352"/>
  </w:docVars>
  <w:rsids>
    <w:rsidRoot w:val="007C0AA4"/>
    <w:rsid w:val="00010D19"/>
    <w:rsid w:val="00010FE2"/>
    <w:rsid w:val="000176CD"/>
    <w:rsid w:val="00021416"/>
    <w:rsid w:val="00022B2D"/>
    <w:rsid w:val="000305D7"/>
    <w:rsid w:val="00032158"/>
    <w:rsid w:val="00032557"/>
    <w:rsid w:val="00032E80"/>
    <w:rsid w:val="00033F6D"/>
    <w:rsid w:val="00034B6D"/>
    <w:rsid w:val="00040E60"/>
    <w:rsid w:val="0004285B"/>
    <w:rsid w:val="00042FA1"/>
    <w:rsid w:val="00043EC2"/>
    <w:rsid w:val="00045F49"/>
    <w:rsid w:val="000463BF"/>
    <w:rsid w:val="0005211C"/>
    <w:rsid w:val="000537AE"/>
    <w:rsid w:val="00053816"/>
    <w:rsid w:val="00053DC2"/>
    <w:rsid w:val="00053E55"/>
    <w:rsid w:val="000623B7"/>
    <w:rsid w:val="000651A8"/>
    <w:rsid w:val="00065C88"/>
    <w:rsid w:val="000678E0"/>
    <w:rsid w:val="000753C0"/>
    <w:rsid w:val="00080915"/>
    <w:rsid w:val="0008326E"/>
    <w:rsid w:val="0008389B"/>
    <w:rsid w:val="000937AB"/>
    <w:rsid w:val="00093D0C"/>
    <w:rsid w:val="00094B5C"/>
    <w:rsid w:val="00095B99"/>
    <w:rsid w:val="000A0D2E"/>
    <w:rsid w:val="000A3196"/>
    <w:rsid w:val="000A34AA"/>
    <w:rsid w:val="000B5743"/>
    <w:rsid w:val="000C0B9D"/>
    <w:rsid w:val="000C0FBC"/>
    <w:rsid w:val="000C3CE7"/>
    <w:rsid w:val="000C5460"/>
    <w:rsid w:val="000D1A84"/>
    <w:rsid w:val="000D3591"/>
    <w:rsid w:val="000D3F01"/>
    <w:rsid w:val="000D5A03"/>
    <w:rsid w:val="000E1FF1"/>
    <w:rsid w:val="000E3478"/>
    <w:rsid w:val="000E6F07"/>
    <w:rsid w:val="000F0072"/>
    <w:rsid w:val="000F4470"/>
    <w:rsid w:val="000F559B"/>
    <w:rsid w:val="000F6BBF"/>
    <w:rsid w:val="000F7148"/>
    <w:rsid w:val="0010378B"/>
    <w:rsid w:val="00106481"/>
    <w:rsid w:val="001106EC"/>
    <w:rsid w:val="0011070A"/>
    <w:rsid w:val="001107C4"/>
    <w:rsid w:val="00111A78"/>
    <w:rsid w:val="00112FF7"/>
    <w:rsid w:val="0011529F"/>
    <w:rsid w:val="0011551B"/>
    <w:rsid w:val="00120FE0"/>
    <w:rsid w:val="00124545"/>
    <w:rsid w:val="00132BC2"/>
    <w:rsid w:val="001342C6"/>
    <w:rsid w:val="001351F7"/>
    <w:rsid w:val="00141337"/>
    <w:rsid w:val="0014154D"/>
    <w:rsid w:val="00144D74"/>
    <w:rsid w:val="00146A7C"/>
    <w:rsid w:val="001508D9"/>
    <w:rsid w:val="00151CBF"/>
    <w:rsid w:val="00155270"/>
    <w:rsid w:val="00155AFC"/>
    <w:rsid w:val="001579C6"/>
    <w:rsid w:val="00161E74"/>
    <w:rsid w:val="00167B05"/>
    <w:rsid w:val="00170049"/>
    <w:rsid w:val="00174EDD"/>
    <w:rsid w:val="00181EFE"/>
    <w:rsid w:val="00182A4F"/>
    <w:rsid w:val="0018404D"/>
    <w:rsid w:val="001863B9"/>
    <w:rsid w:val="001867F3"/>
    <w:rsid w:val="00186FE5"/>
    <w:rsid w:val="00193A08"/>
    <w:rsid w:val="00194D67"/>
    <w:rsid w:val="001967E2"/>
    <w:rsid w:val="001A4AB1"/>
    <w:rsid w:val="001B119E"/>
    <w:rsid w:val="001B3DD8"/>
    <w:rsid w:val="001B56EF"/>
    <w:rsid w:val="001B678E"/>
    <w:rsid w:val="001B6D07"/>
    <w:rsid w:val="001B6D97"/>
    <w:rsid w:val="001B7742"/>
    <w:rsid w:val="001C00AA"/>
    <w:rsid w:val="001C0542"/>
    <w:rsid w:val="001C15EC"/>
    <w:rsid w:val="001C1C7A"/>
    <w:rsid w:val="001C272C"/>
    <w:rsid w:val="001C5D9B"/>
    <w:rsid w:val="001C7854"/>
    <w:rsid w:val="001D57D7"/>
    <w:rsid w:val="001E2287"/>
    <w:rsid w:val="001E29F0"/>
    <w:rsid w:val="001E4E88"/>
    <w:rsid w:val="001E7891"/>
    <w:rsid w:val="001F0140"/>
    <w:rsid w:val="001F3948"/>
    <w:rsid w:val="001F42CB"/>
    <w:rsid w:val="0020066F"/>
    <w:rsid w:val="0020448C"/>
    <w:rsid w:val="00205566"/>
    <w:rsid w:val="002069A6"/>
    <w:rsid w:val="00206FCD"/>
    <w:rsid w:val="00207D8F"/>
    <w:rsid w:val="00212BB0"/>
    <w:rsid w:val="002155C1"/>
    <w:rsid w:val="00217B63"/>
    <w:rsid w:val="0022640A"/>
    <w:rsid w:val="00226C4F"/>
    <w:rsid w:val="002273CB"/>
    <w:rsid w:val="00232FBB"/>
    <w:rsid w:val="00233389"/>
    <w:rsid w:val="00246B3A"/>
    <w:rsid w:val="00246FCD"/>
    <w:rsid w:val="002471C7"/>
    <w:rsid w:val="00250D20"/>
    <w:rsid w:val="00251D4B"/>
    <w:rsid w:val="00257537"/>
    <w:rsid w:val="002575CD"/>
    <w:rsid w:val="002607F3"/>
    <w:rsid w:val="00262638"/>
    <w:rsid w:val="00262C07"/>
    <w:rsid w:val="00263726"/>
    <w:rsid w:val="002647B4"/>
    <w:rsid w:val="0026513D"/>
    <w:rsid w:val="0027103B"/>
    <w:rsid w:val="0028073C"/>
    <w:rsid w:val="00282878"/>
    <w:rsid w:val="002847E3"/>
    <w:rsid w:val="00286C34"/>
    <w:rsid w:val="00287B12"/>
    <w:rsid w:val="00287BEF"/>
    <w:rsid w:val="00297491"/>
    <w:rsid w:val="002A08FD"/>
    <w:rsid w:val="002A1A79"/>
    <w:rsid w:val="002A37EA"/>
    <w:rsid w:val="002A70CA"/>
    <w:rsid w:val="002A78FB"/>
    <w:rsid w:val="002B1755"/>
    <w:rsid w:val="002B1D4E"/>
    <w:rsid w:val="002B4152"/>
    <w:rsid w:val="002B4D0B"/>
    <w:rsid w:val="002B64CE"/>
    <w:rsid w:val="002E267D"/>
    <w:rsid w:val="002E5BCD"/>
    <w:rsid w:val="002F22D9"/>
    <w:rsid w:val="002F4B0B"/>
    <w:rsid w:val="002F75AE"/>
    <w:rsid w:val="003071B2"/>
    <w:rsid w:val="003125A8"/>
    <w:rsid w:val="003144D1"/>
    <w:rsid w:val="003178A8"/>
    <w:rsid w:val="00317BF1"/>
    <w:rsid w:val="0032245B"/>
    <w:rsid w:val="00322D0F"/>
    <w:rsid w:val="0032353B"/>
    <w:rsid w:val="00324934"/>
    <w:rsid w:val="00325923"/>
    <w:rsid w:val="0032598E"/>
    <w:rsid w:val="00331336"/>
    <w:rsid w:val="00332211"/>
    <w:rsid w:val="00334106"/>
    <w:rsid w:val="00336FA5"/>
    <w:rsid w:val="0034056D"/>
    <w:rsid w:val="00340B1E"/>
    <w:rsid w:val="00343B8A"/>
    <w:rsid w:val="00343DA7"/>
    <w:rsid w:val="0035055E"/>
    <w:rsid w:val="00356FEC"/>
    <w:rsid w:val="003603DC"/>
    <w:rsid w:val="00362C8E"/>
    <w:rsid w:val="00365239"/>
    <w:rsid w:val="00365EAC"/>
    <w:rsid w:val="00366E6A"/>
    <w:rsid w:val="00367D05"/>
    <w:rsid w:val="00371D8D"/>
    <w:rsid w:val="003725A6"/>
    <w:rsid w:val="0037708C"/>
    <w:rsid w:val="00384D63"/>
    <w:rsid w:val="00390D30"/>
    <w:rsid w:val="00393FAF"/>
    <w:rsid w:val="00397991"/>
    <w:rsid w:val="003A1B95"/>
    <w:rsid w:val="003A280D"/>
    <w:rsid w:val="003A5160"/>
    <w:rsid w:val="003B0698"/>
    <w:rsid w:val="003B1967"/>
    <w:rsid w:val="003B485B"/>
    <w:rsid w:val="003B78C4"/>
    <w:rsid w:val="003C3F10"/>
    <w:rsid w:val="003C7115"/>
    <w:rsid w:val="003D3010"/>
    <w:rsid w:val="003D6E02"/>
    <w:rsid w:val="003E1A09"/>
    <w:rsid w:val="003E6221"/>
    <w:rsid w:val="003E76C9"/>
    <w:rsid w:val="003F1AC6"/>
    <w:rsid w:val="003F3DD1"/>
    <w:rsid w:val="003F73AB"/>
    <w:rsid w:val="003F7E4E"/>
    <w:rsid w:val="004029DF"/>
    <w:rsid w:val="00403624"/>
    <w:rsid w:val="004061D5"/>
    <w:rsid w:val="00406E29"/>
    <w:rsid w:val="00406F8D"/>
    <w:rsid w:val="004071F9"/>
    <w:rsid w:val="00410906"/>
    <w:rsid w:val="00410A87"/>
    <w:rsid w:val="004110A0"/>
    <w:rsid w:val="0041699B"/>
    <w:rsid w:val="00416A41"/>
    <w:rsid w:val="00421D8B"/>
    <w:rsid w:val="00422FB1"/>
    <w:rsid w:val="0042327C"/>
    <w:rsid w:val="004260DD"/>
    <w:rsid w:val="0043279F"/>
    <w:rsid w:val="00433B59"/>
    <w:rsid w:val="0043638C"/>
    <w:rsid w:val="00437B13"/>
    <w:rsid w:val="0044052D"/>
    <w:rsid w:val="00440B1C"/>
    <w:rsid w:val="0044690C"/>
    <w:rsid w:val="00451052"/>
    <w:rsid w:val="0045588A"/>
    <w:rsid w:val="00463A0F"/>
    <w:rsid w:val="00463C61"/>
    <w:rsid w:val="0046443C"/>
    <w:rsid w:val="0047639F"/>
    <w:rsid w:val="00480F97"/>
    <w:rsid w:val="00482AAD"/>
    <w:rsid w:val="00484C96"/>
    <w:rsid w:val="004863DB"/>
    <w:rsid w:val="00486A23"/>
    <w:rsid w:val="00486AA0"/>
    <w:rsid w:val="00487A06"/>
    <w:rsid w:val="00487C40"/>
    <w:rsid w:val="00490BEB"/>
    <w:rsid w:val="004953F7"/>
    <w:rsid w:val="004967FD"/>
    <w:rsid w:val="004A014E"/>
    <w:rsid w:val="004A1A96"/>
    <w:rsid w:val="004A59AB"/>
    <w:rsid w:val="004A66F8"/>
    <w:rsid w:val="004B42DE"/>
    <w:rsid w:val="004C3F3E"/>
    <w:rsid w:val="004C4A00"/>
    <w:rsid w:val="004C783B"/>
    <w:rsid w:val="004C791F"/>
    <w:rsid w:val="004D113B"/>
    <w:rsid w:val="004D2C49"/>
    <w:rsid w:val="004D3289"/>
    <w:rsid w:val="004E0335"/>
    <w:rsid w:val="004E0B68"/>
    <w:rsid w:val="004E1475"/>
    <w:rsid w:val="004E335B"/>
    <w:rsid w:val="004E4BAC"/>
    <w:rsid w:val="004E65B9"/>
    <w:rsid w:val="004F127A"/>
    <w:rsid w:val="004F2BAF"/>
    <w:rsid w:val="004F2C74"/>
    <w:rsid w:val="004F6E21"/>
    <w:rsid w:val="00501723"/>
    <w:rsid w:val="00503BFD"/>
    <w:rsid w:val="00505163"/>
    <w:rsid w:val="00505D63"/>
    <w:rsid w:val="00507E44"/>
    <w:rsid w:val="005113C5"/>
    <w:rsid w:val="00512E2B"/>
    <w:rsid w:val="00513EB6"/>
    <w:rsid w:val="0051438B"/>
    <w:rsid w:val="00515501"/>
    <w:rsid w:val="005177EA"/>
    <w:rsid w:val="00521860"/>
    <w:rsid w:val="00522E61"/>
    <w:rsid w:val="005242B4"/>
    <w:rsid w:val="005258C0"/>
    <w:rsid w:val="0052597D"/>
    <w:rsid w:val="00526A73"/>
    <w:rsid w:val="0053119C"/>
    <w:rsid w:val="00532C8C"/>
    <w:rsid w:val="00533901"/>
    <w:rsid w:val="005404EF"/>
    <w:rsid w:val="0054057D"/>
    <w:rsid w:val="00542C55"/>
    <w:rsid w:val="005446D4"/>
    <w:rsid w:val="00550D01"/>
    <w:rsid w:val="00551855"/>
    <w:rsid w:val="0055384E"/>
    <w:rsid w:val="00553966"/>
    <w:rsid w:val="00554468"/>
    <w:rsid w:val="00554E94"/>
    <w:rsid w:val="005553C7"/>
    <w:rsid w:val="00555DF7"/>
    <w:rsid w:val="005561F9"/>
    <w:rsid w:val="0055756D"/>
    <w:rsid w:val="00557B69"/>
    <w:rsid w:val="005633FD"/>
    <w:rsid w:val="00563FB0"/>
    <w:rsid w:val="00564A36"/>
    <w:rsid w:val="005701FF"/>
    <w:rsid w:val="005716E4"/>
    <w:rsid w:val="005740E4"/>
    <w:rsid w:val="00590A69"/>
    <w:rsid w:val="00593824"/>
    <w:rsid w:val="00594D81"/>
    <w:rsid w:val="005A06C9"/>
    <w:rsid w:val="005A13D3"/>
    <w:rsid w:val="005A5B75"/>
    <w:rsid w:val="005B4B48"/>
    <w:rsid w:val="005B57EA"/>
    <w:rsid w:val="005B71C1"/>
    <w:rsid w:val="005C0551"/>
    <w:rsid w:val="005C2666"/>
    <w:rsid w:val="005C3988"/>
    <w:rsid w:val="005C3A8C"/>
    <w:rsid w:val="005C51CA"/>
    <w:rsid w:val="005C616A"/>
    <w:rsid w:val="005C6E9A"/>
    <w:rsid w:val="005C7DFD"/>
    <w:rsid w:val="005D04DB"/>
    <w:rsid w:val="005D1904"/>
    <w:rsid w:val="005D2B4B"/>
    <w:rsid w:val="005D4FD6"/>
    <w:rsid w:val="005D6639"/>
    <w:rsid w:val="005D7ADF"/>
    <w:rsid w:val="005E19A0"/>
    <w:rsid w:val="005E1F7C"/>
    <w:rsid w:val="005E1F8E"/>
    <w:rsid w:val="005E5FD5"/>
    <w:rsid w:val="005F1D0E"/>
    <w:rsid w:val="005F2C27"/>
    <w:rsid w:val="005F6C5E"/>
    <w:rsid w:val="005F6E16"/>
    <w:rsid w:val="005F7967"/>
    <w:rsid w:val="006017C0"/>
    <w:rsid w:val="00610C81"/>
    <w:rsid w:val="006167D8"/>
    <w:rsid w:val="00621908"/>
    <w:rsid w:val="00621ECF"/>
    <w:rsid w:val="0062269A"/>
    <w:rsid w:val="006246F0"/>
    <w:rsid w:val="00624DCD"/>
    <w:rsid w:val="0062667A"/>
    <w:rsid w:val="00627303"/>
    <w:rsid w:val="00630E45"/>
    <w:rsid w:val="00631E6C"/>
    <w:rsid w:val="006345E2"/>
    <w:rsid w:val="00640353"/>
    <w:rsid w:val="0064063A"/>
    <w:rsid w:val="006417FF"/>
    <w:rsid w:val="00646DEB"/>
    <w:rsid w:val="00647502"/>
    <w:rsid w:val="00647D86"/>
    <w:rsid w:val="00652C8B"/>
    <w:rsid w:val="00671014"/>
    <w:rsid w:val="00675BAE"/>
    <w:rsid w:val="006772EE"/>
    <w:rsid w:val="00684CE6"/>
    <w:rsid w:val="00687BC0"/>
    <w:rsid w:val="00687BE7"/>
    <w:rsid w:val="00691CCC"/>
    <w:rsid w:val="00693FB6"/>
    <w:rsid w:val="00694A3B"/>
    <w:rsid w:val="00694E65"/>
    <w:rsid w:val="00695F39"/>
    <w:rsid w:val="006A0519"/>
    <w:rsid w:val="006A7B8B"/>
    <w:rsid w:val="006B08BE"/>
    <w:rsid w:val="006B1BDD"/>
    <w:rsid w:val="006B348B"/>
    <w:rsid w:val="006D38C0"/>
    <w:rsid w:val="006E0C11"/>
    <w:rsid w:val="006E5EA4"/>
    <w:rsid w:val="006E60CE"/>
    <w:rsid w:val="00702B45"/>
    <w:rsid w:val="007051F5"/>
    <w:rsid w:val="00705DDD"/>
    <w:rsid w:val="007067C9"/>
    <w:rsid w:val="00706D33"/>
    <w:rsid w:val="00711BEC"/>
    <w:rsid w:val="00715538"/>
    <w:rsid w:val="007163FA"/>
    <w:rsid w:val="00717822"/>
    <w:rsid w:val="00717AF1"/>
    <w:rsid w:val="007208BD"/>
    <w:rsid w:val="00720C94"/>
    <w:rsid w:val="0073262F"/>
    <w:rsid w:val="007329EE"/>
    <w:rsid w:val="0073372B"/>
    <w:rsid w:val="00744885"/>
    <w:rsid w:val="00751352"/>
    <w:rsid w:val="00751BF3"/>
    <w:rsid w:val="00752E84"/>
    <w:rsid w:val="00757153"/>
    <w:rsid w:val="00757F64"/>
    <w:rsid w:val="007613B0"/>
    <w:rsid w:val="007638C6"/>
    <w:rsid w:val="0076747D"/>
    <w:rsid w:val="007754FA"/>
    <w:rsid w:val="007762B2"/>
    <w:rsid w:val="00784B6E"/>
    <w:rsid w:val="007864B2"/>
    <w:rsid w:val="00787AEA"/>
    <w:rsid w:val="007909C3"/>
    <w:rsid w:val="0079238D"/>
    <w:rsid w:val="007924DE"/>
    <w:rsid w:val="00792B83"/>
    <w:rsid w:val="00793ACA"/>
    <w:rsid w:val="00797723"/>
    <w:rsid w:val="007A1785"/>
    <w:rsid w:val="007A1F1E"/>
    <w:rsid w:val="007A24A2"/>
    <w:rsid w:val="007A425D"/>
    <w:rsid w:val="007A4B40"/>
    <w:rsid w:val="007A4BF3"/>
    <w:rsid w:val="007B4B3D"/>
    <w:rsid w:val="007B670A"/>
    <w:rsid w:val="007C083F"/>
    <w:rsid w:val="007C0AA4"/>
    <w:rsid w:val="007C0D99"/>
    <w:rsid w:val="007C4F23"/>
    <w:rsid w:val="007C5509"/>
    <w:rsid w:val="007C5B2A"/>
    <w:rsid w:val="007C7A21"/>
    <w:rsid w:val="007D64C3"/>
    <w:rsid w:val="007F3787"/>
    <w:rsid w:val="007F3807"/>
    <w:rsid w:val="007F411D"/>
    <w:rsid w:val="008019CB"/>
    <w:rsid w:val="00804D67"/>
    <w:rsid w:val="008055B4"/>
    <w:rsid w:val="00806A8F"/>
    <w:rsid w:val="00810893"/>
    <w:rsid w:val="00811473"/>
    <w:rsid w:val="00812C22"/>
    <w:rsid w:val="00814788"/>
    <w:rsid w:val="00820C2D"/>
    <w:rsid w:val="008217D1"/>
    <w:rsid w:val="00825B6E"/>
    <w:rsid w:val="00825FAD"/>
    <w:rsid w:val="00827030"/>
    <w:rsid w:val="00834A5D"/>
    <w:rsid w:val="00836680"/>
    <w:rsid w:val="00842FE5"/>
    <w:rsid w:val="008458D3"/>
    <w:rsid w:val="0085079A"/>
    <w:rsid w:val="0085388C"/>
    <w:rsid w:val="00857669"/>
    <w:rsid w:val="008674B7"/>
    <w:rsid w:val="008723A6"/>
    <w:rsid w:val="008729E7"/>
    <w:rsid w:val="00877A28"/>
    <w:rsid w:val="00877FD7"/>
    <w:rsid w:val="008814CE"/>
    <w:rsid w:val="0088163E"/>
    <w:rsid w:val="00882B32"/>
    <w:rsid w:val="008835DF"/>
    <w:rsid w:val="00886029"/>
    <w:rsid w:val="00896B7C"/>
    <w:rsid w:val="008A2A5B"/>
    <w:rsid w:val="008A3B86"/>
    <w:rsid w:val="008B69F7"/>
    <w:rsid w:val="008C57C9"/>
    <w:rsid w:val="008C5C71"/>
    <w:rsid w:val="008C6A2F"/>
    <w:rsid w:val="008C6F3B"/>
    <w:rsid w:val="008D0378"/>
    <w:rsid w:val="008D3665"/>
    <w:rsid w:val="008D5A46"/>
    <w:rsid w:val="008D6ADE"/>
    <w:rsid w:val="008D7AA0"/>
    <w:rsid w:val="008E13A0"/>
    <w:rsid w:val="008E2408"/>
    <w:rsid w:val="008E3733"/>
    <w:rsid w:val="008E38A9"/>
    <w:rsid w:val="008E3AA8"/>
    <w:rsid w:val="008E550B"/>
    <w:rsid w:val="008F33BA"/>
    <w:rsid w:val="008F3F87"/>
    <w:rsid w:val="008F450C"/>
    <w:rsid w:val="008F5D41"/>
    <w:rsid w:val="008F6401"/>
    <w:rsid w:val="0090027D"/>
    <w:rsid w:val="009046FC"/>
    <w:rsid w:val="00905CC4"/>
    <w:rsid w:val="00912479"/>
    <w:rsid w:val="0091449E"/>
    <w:rsid w:val="00916E41"/>
    <w:rsid w:val="00922DC2"/>
    <w:rsid w:val="00923362"/>
    <w:rsid w:val="00926918"/>
    <w:rsid w:val="009278D0"/>
    <w:rsid w:val="00927BD9"/>
    <w:rsid w:val="00931414"/>
    <w:rsid w:val="00933FEE"/>
    <w:rsid w:val="0093575C"/>
    <w:rsid w:val="00940784"/>
    <w:rsid w:val="0094350A"/>
    <w:rsid w:val="0094615B"/>
    <w:rsid w:val="009470D1"/>
    <w:rsid w:val="00947F2F"/>
    <w:rsid w:val="009512F9"/>
    <w:rsid w:val="009553A8"/>
    <w:rsid w:val="00957068"/>
    <w:rsid w:val="00957EA4"/>
    <w:rsid w:val="00961225"/>
    <w:rsid w:val="00965EE8"/>
    <w:rsid w:val="009668D0"/>
    <w:rsid w:val="009669CF"/>
    <w:rsid w:val="0097059C"/>
    <w:rsid w:val="0097078F"/>
    <w:rsid w:val="00972C42"/>
    <w:rsid w:val="009821BE"/>
    <w:rsid w:val="00996CC4"/>
    <w:rsid w:val="009978FA"/>
    <w:rsid w:val="00997964"/>
    <w:rsid w:val="009A0953"/>
    <w:rsid w:val="009A21EB"/>
    <w:rsid w:val="009A2408"/>
    <w:rsid w:val="009A634A"/>
    <w:rsid w:val="009A6FFB"/>
    <w:rsid w:val="009B16A2"/>
    <w:rsid w:val="009B1EDA"/>
    <w:rsid w:val="009B4D64"/>
    <w:rsid w:val="009C2208"/>
    <w:rsid w:val="009C256E"/>
    <w:rsid w:val="009C559D"/>
    <w:rsid w:val="009C650D"/>
    <w:rsid w:val="009C74B0"/>
    <w:rsid w:val="009D0BDB"/>
    <w:rsid w:val="009D0CF9"/>
    <w:rsid w:val="009D2DF0"/>
    <w:rsid w:val="009D5FA8"/>
    <w:rsid w:val="009E0ADE"/>
    <w:rsid w:val="009E39EE"/>
    <w:rsid w:val="009E6504"/>
    <w:rsid w:val="009F0B90"/>
    <w:rsid w:val="009F0F8B"/>
    <w:rsid w:val="009F341A"/>
    <w:rsid w:val="009F3DE6"/>
    <w:rsid w:val="009F4458"/>
    <w:rsid w:val="00A01D71"/>
    <w:rsid w:val="00A01F59"/>
    <w:rsid w:val="00A0209C"/>
    <w:rsid w:val="00A023C8"/>
    <w:rsid w:val="00A02A93"/>
    <w:rsid w:val="00A05DBB"/>
    <w:rsid w:val="00A102C8"/>
    <w:rsid w:val="00A11779"/>
    <w:rsid w:val="00A1263C"/>
    <w:rsid w:val="00A14320"/>
    <w:rsid w:val="00A14A12"/>
    <w:rsid w:val="00A158F8"/>
    <w:rsid w:val="00A203E7"/>
    <w:rsid w:val="00A2368E"/>
    <w:rsid w:val="00A23A39"/>
    <w:rsid w:val="00A23DAC"/>
    <w:rsid w:val="00A3421F"/>
    <w:rsid w:val="00A4042F"/>
    <w:rsid w:val="00A42FB8"/>
    <w:rsid w:val="00A4351F"/>
    <w:rsid w:val="00A47C66"/>
    <w:rsid w:val="00A50E62"/>
    <w:rsid w:val="00A51025"/>
    <w:rsid w:val="00A57602"/>
    <w:rsid w:val="00A63515"/>
    <w:rsid w:val="00A63E4C"/>
    <w:rsid w:val="00A63EF9"/>
    <w:rsid w:val="00A649C1"/>
    <w:rsid w:val="00A66062"/>
    <w:rsid w:val="00A72848"/>
    <w:rsid w:val="00A760A4"/>
    <w:rsid w:val="00A8226D"/>
    <w:rsid w:val="00A87BCD"/>
    <w:rsid w:val="00A903E7"/>
    <w:rsid w:val="00A92272"/>
    <w:rsid w:val="00A933D0"/>
    <w:rsid w:val="00A93A84"/>
    <w:rsid w:val="00A969E1"/>
    <w:rsid w:val="00A9787E"/>
    <w:rsid w:val="00AA2384"/>
    <w:rsid w:val="00AA3355"/>
    <w:rsid w:val="00AA401D"/>
    <w:rsid w:val="00AA4935"/>
    <w:rsid w:val="00AA52E0"/>
    <w:rsid w:val="00AA5C9F"/>
    <w:rsid w:val="00AA722F"/>
    <w:rsid w:val="00AB0BFA"/>
    <w:rsid w:val="00AB2776"/>
    <w:rsid w:val="00AB2CE5"/>
    <w:rsid w:val="00AC0FCC"/>
    <w:rsid w:val="00AC1C91"/>
    <w:rsid w:val="00AD03CE"/>
    <w:rsid w:val="00AD2044"/>
    <w:rsid w:val="00AD43EC"/>
    <w:rsid w:val="00AD4FBA"/>
    <w:rsid w:val="00AD7223"/>
    <w:rsid w:val="00AE1B52"/>
    <w:rsid w:val="00AE3058"/>
    <w:rsid w:val="00AE5827"/>
    <w:rsid w:val="00AE68A2"/>
    <w:rsid w:val="00AE6F3D"/>
    <w:rsid w:val="00AE7926"/>
    <w:rsid w:val="00AF046D"/>
    <w:rsid w:val="00AF3327"/>
    <w:rsid w:val="00AF4E56"/>
    <w:rsid w:val="00AF67C7"/>
    <w:rsid w:val="00AF7085"/>
    <w:rsid w:val="00B03693"/>
    <w:rsid w:val="00B10D05"/>
    <w:rsid w:val="00B21C15"/>
    <w:rsid w:val="00B22D68"/>
    <w:rsid w:val="00B23693"/>
    <w:rsid w:val="00B2556D"/>
    <w:rsid w:val="00B2636D"/>
    <w:rsid w:val="00B27006"/>
    <w:rsid w:val="00B31320"/>
    <w:rsid w:val="00B4213D"/>
    <w:rsid w:val="00B42158"/>
    <w:rsid w:val="00B4239F"/>
    <w:rsid w:val="00B57755"/>
    <w:rsid w:val="00B57B69"/>
    <w:rsid w:val="00B606F1"/>
    <w:rsid w:val="00B63E90"/>
    <w:rsid w:val="00B64086"/>
    <w:rsid w:val="00B65ECA"/>
    <w:rsid w:val="00B71B8F"/>
    <w:rsid w:val="00B7531C"/>
    <w:rsid w:val="00B83ED6"/>
    <w:rsid w:val="00B841E3"/>
    <w:rsid w:val="00B96607"/>
    <w:rsid w:val="00BA3224"/>
    <w:rsid w:val="00BA669D"/>
    <w:rsid w:val="00BA7B12"/>
    <w:rsid w:val="00BB2C26"/>
    <w:rsid w:val="00BC21CD"/>
    <w:rsid w:val="00BC34C3"/>
    <w:rsid w:val="00BC76FE"/>
    <w:rsid w:val="00BD1366"/>
    <w:rsid w:val="00BD44EF"/>
    <w:rsid w:val="00BE4C04"/>
    <w:rsid w:val="00BE59E1"/>
    <w:rsid w:val="00BE74C7"/>
    <w:rsid w:val="00BF0045"/>
    <w:rsid w:val="00BF1D11"/>
    <w:rsid w:val="00BF5A42"/>
    <w:rsid w:val="00C00E89"/>
    <w:rsid w:val="00C02B80"/>
    <w:rsid w:val="00C07860"/>
    <w:rsid w:val="00C1279F"/>
    <w:rsid w:val="00C24213"/>
    <w:rsid w:val="00C246B8"/>
    <w:rsid w:val="00C25F68"/>
    <w:rsid w:val="00C2744A"/>
    <w:rsid w:val="00C30B17"/>
    <w:rsid w:val="00C31137"/>
    <w:rsid w:val="00C3310A"/>
    <w:rsid w:val="00C336D4"/>
    <w:rsid w:val="00C406EA"/>
    <w:rsid w:val="00C40943"/>
    <w:rsid w:val="00C40A8E"/>
    <w:rsid w:val="00C45D3A"/>
    <w:rsid w:val="00C55802"/>
    <w:rsid w:val="00C57243"/>
    <w:rsid w:val="00C64621"/>
    <w:rsid w:val="00C707B0"/>
    <w:rsid w:val="00C719E4"/>
    <w:rsid w:val="00C763C7"/>
    <w:rsid w:val="00C83D23"/>
    <w:rsid w:val="00C8412B"/>
    <w:rsid w:val="00C84D4A"/>
    <w:rsid w:val="00C84ED8"/>
    <w:rsid w:val="00C93A9C"/>
    <w:rsid w:val="00C943B0"/>
    <w:rsid w:val="00CA0CB1"/>
    <w:rsid w:val="00CA1C21"/>
    <w:rsid w:val="00CB17FE"/>
    <w:rsid w:val="00CB6C2F"/>
    <w:rsid w:val="00CB7D6C"/>
    <w:rsid w:val="00CC0F5F"/>
    <w:rsid w:val="00CC232E"/>
    <w:rsid w:val="00CC3519"/>
    <w:rsid w:val="00CC5913"/>
    <w:rsid w:val="00CD11DC"/>
    <w:rsid w:val="00CD1626"/>
    <w:rsid w:val="00CD3698"/>
    <w:rsid w:val="00CD4011"/>
    <w:rsid w:val="00CD6881"/>
    <w:rsid w:val="00CE4037"/>
    <w:rsid w:val="00CF0532"/>
    <w:rsid w:val="00CF56B7"/>
    <w:rsid w:val="00CF774A"/>
    <w:rsid w:val="00D021EF"/>
    <w:rsid w:val="00D14278"/>
    <w:rsid w:val="00D2299F"/>
    <w:rsid w:val="00D23F14"/>
    <w:rsid w:val="00D25C6F"/>
    <w:rsid w:val="00D25F31"/>
    <w:rsid w:val="00D305B9"/>
    <w:rsid w:val="00D40D23"/>
    <w:rsid w:val="00D441ED"/>
    <w:rsid w:val="00D46D6A"/>
    <w:rsid w:val="00D47D5A"/>
    <w:rsid w:val="00D50E0C"/>
    <w:rsid w:val="00D557AD"/>
    <w:rsid w:val="00D600CD"/>
    <w:rsid w:val="00D62043"/>
    <w:rsid w:val="00D6791D"/>
    <w:rsid w:val="00D70473"/>
    <w:rsid w:val="00D70764"/>
    <w:rsid w:val="00D76189"/>
    <w:rsid w:val="00D777A0"/>
    <w:rsid w:val="00D824DC"/>
    <w:rsid w:val="00D84A6C"/>
    <w:rsid w:val="00D85ADD"/>
    <w:rsid w:val="00D901F7"/>
    <w:rsid w:val="00D91903"/>
    <w:rsid w:val="00D94D6B"/>
    <w:rsid w:val="00D95507"/>
    <w:rsid w:val="00D97247"/>
    <w:rsid w:val="00DA2F5F"/>
    <w:rsid w:val="00DB188E"/>
    <w:rsid w:val="00DB2D27"/>
    <w:rsid w:val="00DC1649"/>
    <w:rsid w:val="00DC23E3"/>
    <w:rsid w:val="00DC2C48"/>
    <w:rsid w:val="00DC4FD2"/>
    <w:rsid w:val="00DC69A6"/>
    <w:rsid w:val="00DC6B91"/>
    <w:rsid w:val="00DD3114"/>
    <w:rsid w:val="00DD5D1F"/>
    <w:rsid w:val="00DD63FE"/>
    <w:rsid w:val="00DD68DD"/>
    <w:rsid w:val="00DE1731"/>
    <w:rsid w:val="00DE47F1"/>
    <w:rsid w:val="00DE47FC"/>
    <w:rsid w:val="00DE5048"/>
    <w:rsid w:val="00DE529E"/>
    <w:rsid w:val="00DE6A5E"/>
    <w:rsid w:val="00DF2C1B"/>
    <w:rsid w:val="00DF3CDD"/>
    <w:rsid w:val="00DF3D3D"/>
    <w:rsid w:val="00DF71A6"/>
    <w:rsid w:val="00DF7C72"/>
    <w:rsid w:val="00E004C2"/>
    <w:rsid w:val="00E0318F"/>
    <w:rsid w:val="00E03355"/>
    <w:rsid w:val="00E05367"/>
    <w:rsid w:val="00E12044"/>
    <w:rsid w:val="00E126CB"/>
    <w:rsid w:val="00E13A34"/>
    <w:rsid w:val="00E16050"/>
    <w:rsid w:val="00E172B6"/>
    <w:rsid w:val="00E205A2"/>
    <w:rsid w:val="00E20D96"/>
    <w:rsid w:val="00E23C37"/>
    <w:rsid w:val="00E24516"/>
    <w:rsid w:val="00E259D1"/>
    <w:rsid w:val="00E25AC4"/>
    <w:rsid w:val="00E2733F"/>
    <w:rsid w:val="00E27624"/>
    <w:rsid w:val="00E3086C"/>
    <w:rsid w:val="00E32CCC"/>
    <w:rsid w:val="00E37DE4"/>
    <w:rsid w:val="00E45D46"/>
    <w:rsid w:val="00E46FC5"/>
    <w:rsid w:val="00E502CD"/>
    <w:rsid w:val="00E52214"/>
    <w:rsid w:val="00E55B23"/>
    <w:rsid w:val="00E61092"/>
    <w:rsid w:val="00E64921"/>
    <w:rsid w:val="00E66054"/>
    <w:rsid w:val="00E6744C"/>
    <w:rsid w:val="00E7066F"/>
    <w:rsid w:val="00E73464"/>
    <w:rsid w:val="00E7562C"/>
    <w:rsid w:val="00E80E19"/>
    <w:rsid w:val="00E82A92"/>
    <w:rsid w:val="00E909D8"/>
    <w:rsid w:val="00EA2720"/>
    <w:rsid w:val="00EA2D28"/>
    <w:rsid w:val="00EA3F78"/>
    <w:rsid w:val="00EA478F"/>
    <w:rsid w:val="00EA71BB"/>
    <w:rsid w:val="00EA7A20"/>
    <w:rsid w:val="00EB0AF7"/>
    <w:rsid w:val="00EB6306"/>
    <w:rsid w:val="00EC0039"/>
    <w:rsid w:val="00EC0A22"/>
    <w:rsid w:val="00EC2D5D"/>
    <w:rsid w:val="00EC2F52"/>
    <w:rsid w:val="00EC5EAE"/>
    <w:rsid w:val="00ED16F7"/>
    <w:rsid w:val="00ED77A4"/>
    <w:rsid w:val="00ED79EB"/>
    <w:rsid w:val="00EE6AD4"/>
    <w:rsid w:val="00EF23D1"/>
    <w:rsid w:val="00EF27D9"/>
    <w:rsid w:val="00EF486A"/>
    <w:rsid w:val="00EF6300"/>
    <w:rsid w:val="00EF6FA0"/>
    <w:rsid w:val="00F01D67"/>
    <w:rsid w:val="00F03B01"/>
    <w:rsid w:val="00F06268"/>
    <w:rsid w:val="00F0695C"/>
    <w:rsid w:val="00F1086A"/>
    <w:rsid w:val="00F14A9E"/>
    <w:rsid w:val="00F1718D"/>
    <w:rsid w:val="00F20768"/>
    <w:rsid w:val="00F2170B"/>
    <w:rsid w:val="00F23A19"/>
    <w:rsid w:val="00F23D6C"/>
    <w:rsid w:val="00F26C3C"/>
    <w:rsid w:val="00F26F71"/>
    <w:rsid w:val="00F317BA"/>
    <w:rsid w:val="00F438D7"/>
    <w:rsid w:val="00F44097"/>
    <w:rsid w:val="00F44643"/>
    <w:rsid w:val="00F460D3"/>
    <w:rsid w:val="00F472A4"/>
    <w:rsid w:val="00F521A3"/>
    <w:rsid w:val="00F54505"/>
    <w:rsid w:val="00F5525C"/>
    <w:rsid w:val="00F56C1D"/>
    <w:rsid w:val="00F6236C"/>
    <w:rsid w:val="00F63842"/>
    <w:rsid w:val="00F670E5"/>
    <w:rsid w:val="00F80455"/>
    <w:rsid w:val="00F902F4"/>
    <w:rsid w:val="00F91F71"/>
    <w:rsid w:val="00F93637"/>
    <w:rsid w:val="00F93A0E"/>
    <w:rsid w:val="00F96782"/>
    <w:rsid w:val="00FA08B5"/>
    <w:rsid w:val="00FA203D"/>
    <w:rsid w:val="00FA5370"/>
    <w:rsid w:val="00FA5780"/>
    <w:rsid w:val="00FB0CE4"/>
    <w:rsid w:val="00FB1446"/>
    <w:rsid w:val="00FB1A7D"/>
    <w:rsid w:val="00FB1C3A"/>
    <w:rsid w:val="00FB1D74"/>
    <w:rsid w:val="00FB438E"/>
    <w:rsid w:val="00FB65CC"/>
    <w:rsid w:val="00FC0477"/>
    <w:rsid w:val="00FC306F"/>
    <w:rsid w:val="00FC47CD"/>
    <w:rsid w:val="00FD1B1B"/>
    <w:rsid w:val="00FD3854"/>
    <w:rsid w:val="00FE2286"/>
    <w:rsid w:val="00FE4792"/>
    <w:rsid w:val="00FE51F7"/>
    <w:rsid w:val="00FF06EA"/>
    <w:rsid w:val="00FF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7F4B4"/>
  <w15:docId w15:val="{1D32B86A-5064-4946-91B2-6E97DAED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41"/>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1C27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842FE5"/>
    <w:rPr>
      <w:rFonts w:ascii="NNFPLJ+TimesNewRoman" w:hAnsi="NNFPLJ+TimesNewRoman"/>
      <w:sz w:val="24"/>
      <w:szCs w:val="24"/>
    </w:rPr>
  </w:style>
  <w:style w:type="character" w:styleId="Emphasis">
    <w:name w:val="Emphasis"/>
    <w:basedOn w:val="DefaultParagraphFont"/>
    <w:qFormat/>
    <w:rsid w:val="00A50E62"/>
    <w:rPr>
      <w:i/>
      <w:iCs/>
    </w:rPr>
  </w:style>
  <w:style w:type="character" w:customStyle="1" w:styleId="Heading2Char">
    <w:name w:val="Heading 2 Char"/>
    <w:basedOn w:val="DefaultParagraphFont"/>
    <w:link w:val="Heading2"/>
    <w:semiHidden/>
    <w:rsid w:val="001C272C"/>
    <w:rPr>
      <w:rFonts w:asciiTheme="majorHAnsi" w:eastAsiaTheme="majorEastAsia" w:hAnsiTheme="majorHAnsi" w:cstheme="majorBidi"/>
      <w:color w:val="365F91" w:themeColor="accent1" w:themeShade="BF"/>
      <w:sz w:val="26"/>
      <w:szCs w:val="26"/>
    </w:rPr>
  </w:style>
  <w:style w:type="paragraph" w:styleId="NoSpacing">
    <w:name w:val="No Spacing"/>
    <w:uiPriority w:val="99"/>
    <w:qFormat/>
    <w:rsid w:val="00793AC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382243774">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2.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4.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5.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6.xml><?xml version="1.0" encoding="utf-8"?>
<ds:datastoreItem xmlns:ds="http://schemas.openxmlformats.org/officeDocument/2006/customXml" ds:itemID="{8B4C5C5A-1932-46DB-A2F2-D3D4636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5614</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37539</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Sladky, Anna</cp:lastModifiedBy>
  <cp:revision>2</cp:revision>
  <cp:lastPrinted>2010-09-10T14:56:00Z</cp:lastPrinted>
  <dcterms:created xsi:type="dcterms:W3CDTF">2019-10-10T19:01:00Z</dcterms:created>
  <dcterms:modified xsi:type="dcterms:W3CDTF">2019-10-10T19:01:00Z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