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u w:val="single"/>
        </w:rPr>
      </w:pPr>
      <w:bookmarkStart w:colFirst="0" w:colLast="0" w:name="_pobypgrzezvk" w:id="0"/>
      <w:bookmarkEnd w:id="0"/>
      <w:r w:rsidDel="00000000" w:rsidR="00000000" w:rsidRPr="00000000">
        <w:rPr>
          <w:b w:val="1"/>
          <w:color w:val="000000"/>
          <w:sz w:val="26"/>
          <w:szCs w:val="26"/>
          <w:u w:val="single"/>
          <w:rtl w:val="0"/>
        </w:rPr>
        <w:t xml:space="preserve">A New Horizon in the Real Estate Industry</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every city, behind every street and building, there is a story. The real estate industry is not just a market for buying and selling properties; it is the driving force that shapes cities and defines how people live, work, and connect.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Over time, this sector has evolved based on human needs. From the first settlements to modern metropolises, the search for functional, safe, and accessible spaces has been a constant. Today, more than ever, innovation and sustainability are guiding the future of real estate development.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New technologies have changed the way we explore and acquire properties. Virtual reality allows buyers to tour homes without leaving their own, artificial intelligence helps predict market trends, and digitalization has made real estate investment more accessible than ever. However, with these advancements come new challenges: the growing demand for more sustainable spaces, the need for affordable housing, and the transformation of the concept of home and office in an increasingly hybrid world.</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future of real estate is no longer just measured in square meters but in its ability to adapt to a constantly changing world. Those who understand this evolution and embrace innovative solutions will be the ones shaping the future.</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