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sz w:val="26"/>
          <w:szCs w:val="26"/>
        </w:rPr>
      </w:pPr>
      <w:bookmarkStart w:colFirst="0" w:colLast="0" w:name="_35fsnbmucwqq" w:id="0"/>
      <w:bookmarkEnd w:id="0"/>
      <w:r w:rsidDel="00000000" w:rsidR="00000000" w:rsidRPr="00000000">
        <w:rPr>
          <w:b w:val="1"/>
          <w:color w:val="000000"/>
          <w:sz w:val="26"/>
          <w:szCs w:val="26"/>
          <w:rtl w:val="0"/>
        </w:rPr>
        <w:t xml:space="preserve">Business Success in the Digital Age</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In today’s fast-paced world, businesses must adapt to technological advancements and changing consumer behaviors to remain competitive. Business success depends on strategic planning, innovation, and digital transformation (Drucker, 2018). Companies that embrace modern strategies, such as e-commerce, digital marketing, and data-driven decision-making, gain a significant advantage in the marketplace.</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Entrepreneurship and leadership play vital roles in business growth. Effective leaders foster innovation, create strong organizational cultures, and adapt to market trends (Kotler et al., 2021). Entrepreneurs must develop problem-solving skills, financial literacy, and resilience to navigate challenges in competitive industries. Additionally, investing in employee development and customer satisfaction enhances long-term sustainability.</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Technology and globalization have reshaped business operations, allowing companies to expand beyond local markets. Businesses leveraging digital tools such as cloud computing, artificial intelligence, and automation improve efficiency and customer engagement (Brynjolfsson &amp; McAfee, 2017). Furthermore, global trade and remote work opportunities enable companies to access new markets and talent worldwide.</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Ultimately, businesses that embrace innovation, digital transformation, and effective leadership position themselves for long-term success. Adapting to change, investing in technology, and maintaining customer-centric strategies are essential for thriving in the evolving business landscape.</w:t>
      </w:r>
    </w:p>
    <w:p w:rsidR="00000000" w:rsidDel="00000000" w:rsidP="00000000" w:rsidRDefault="00000000" w:rsidRPr="00000000" w14:paraId="00000006">
      <w:pPr>
        <w:pStyle w:val="Heading3"/>
        <w:keepNext w:val="0"/>
        <w:keepLines w:val="0"/>
        <w:spacing w:before="280" w:lineRule="auto"/>
        <w:jc w:val="both"/>
        <w:rPr>
          <w:b w:val="1"/>
          <w:color w:val="000000"/>
          <w:sz w:val="26"/>
          <w:szCs w:val="26"/>
        </w:rPr>
      </w:pPr>
      <w:bookmarkStart w:colFirst="0" w:colLast="0" w:name="_e2j4go8leiv3" w:id="1"/>
      <w:bookmarkEnd w:id="1"/>
      <w:r w:rsidDel="00000000" w:rsidR="00000000" w:rsidRPr="00000000">
        <w:rPr>
          <w:b w:val="1"/>
          <w:color w:val="000000"/>
          <w:sz w:val="26"/>
          <w:szCs w:val="26"/>
          <w:rtl w:val="0"/>
        </w:rPr>
        <w:t xml:space="preserve">References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Brynjolfsson, E., &amp; McAfee, A. (2017). </w:t>
      </w:r>
      <w:r w:rsidDel="00000000" w:rsidR="00000000" w:rsidRPr="00000000">
        <w:rPr>
          <w:i w:val="1"/>
          <w:rtl w:val="0"/>
        </w:rPr>
        <w:t xml:space="preserve">Machine, platform, crowd: Harnessing our digital future</w:t>
      </w:r>
      <w:r w:rsidDel="00000000" w:rsidR="00000000" w:rsidRPr="00000000">
        <w:rPr>
          <w:rtl w:val="0"/>
        </w:rPr>
        <w:t xml:space="preserve">. W. W. Norton &amp; Company.</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Drucker, P. (2018). </w:t>
      </w:r>
      <w:r w:rsidDel="00000000" w:rsidR="00000000" w:rsidRPr="00000000">
        <w:rPr>
          <w:i w:val="1"/>
          <w:rtl w:val="0"/>
        </w:rPr>
        <w:t xml:space="preserve">Innovation and entrepreneurship: Practice and principles</w:t>
      </w:r>
      <w:r w:rsidDel="00000000" w:rsidR="00000000" w:rsidRPr="00000000">
        <w:rPr>
          <w:rtl w:val="0"/>
        </w:rPr>
        <w:t xml:space="preserve">. Routledge.</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Kotler, P., Kartajaya, H., &amp; Setiawan, I. (2021). </w:t>
      </w:r>
      <w:r w:rsidDel="00000000" w:rsidR="00000000" w:rsidRPr="00000000">
        <w:rPr>
          <w:i w:val="1"/>
          <w:rtl w:val="0"/>
        </w:rPr>
        <w:t xml:space="preserve">Marketing 5.0: Technology for humanity</w:t>
      </w:r>
      <w:r w:rsidDel="00000000" w:rsidR="00000000" w:rsidRPr="00000000">
        <w:rPr>
          <w:rtl w:val="0"/>
        </w:rPr>
        <w:t xml:space="preserve">. Wiley.</w:t>
      </w:r>
    </w:p>
    <w:p w:rsidR="00000000" w:rsidDel="00000000" w:rsidP="00000000" w:rsidRDefault="00000000" w:rsidRPr="00000000" w14:paraId="0000000A">
      <w:pPr>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