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9xe1p3u0xbxx" w:id="0"/>
      <w:bookmarkEnd w:id="0"/>
      <w:r w:rsidDel="00000000" w:rsidR="00000000" w:rsidRPr="00000000">
        <w:rPr>
          <w:b w:val="1"/>
          <w:sz w:val="34"/>
          <w:szCs w:val="34"/>
          <w:rtl w:val="0"/>
        </w:rPr>
        <w:t xml:space="preserve">Finance, Banking, and Economics in a Globalized World</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Finance, banking, and economics play a fundamental role in shaping global markets and economic growth. Finance involves managing money, investments, and risk assessment, helping individuals and businesses optimize financial resources (Bodie et al., 2021). Strong financial literacy enables better decision-making in areas such as savings, investments, and debt management.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Banking is essential to financial systems, providing services like lending, asset management, and digital transactions. The rise of FinTech has transformed traditional banking, offering digital solutions such as mobile banking, cryptocurrency, and blockchain-based transactions (Mishkin, 2019). This shift has improved financial accessibility while raising concerns about cybersecurity and regulatory compliance.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Economics, the study of resource allocation and market dynamics, influences policy-making and global trade. Economic theories help governments and businesses understand inflation, unemployment, and monetary policies (Krugman &amp; Wells, 2020). As economies become more interconnected, sustainable finance and ethical banking gain importance in fostering long-term economic stability.</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Adapting to financial and economic changes is crucial for individuals and organizations. Innovations in digital banking and global economic policies continue to shape financial systems, requiring continuous learning and strategic planning.</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oav0zjoc09um" w:id="1"/>
      <w:bookmarkEnd w:id="1"/>
      <w:r w:rsidDel="00000000" w:rsidR="00000000" w:rsidRPr="00000000">
        <w:rPr>
          <w:b w:val="1"/>
          <w:color w:val="000000"/>
          <w:sz w:val="26"/>
          <w:szCs w:val="26"/>
          <w:rtl w:val="0"/>
        </w:rPr>
        <w:t xml:space="preserve">References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Bodie, Z., Kane, A., &amp; Marcus, A. J. (2021). </w:t>
      </w:r>
      <w:r w:rsidDel="00000000" w:rsidR="00000000" w:rsidRPr="00000000">
        <w:rPr>
          <w:i w:val="1"/>
          <w:rtl w:val="0"/>
        </w:rPr>
        <w:t xml:space="preserve">Investments</w:t>
      </w:r>
      <w:r w:rsidDel="00000000" w:rsidR="00000000" w:rsidRPr="00000000">
        <w:rPr>
          <w:rtl w:val="0"/>
        </w:rPr>
        <w:t xml:space="preserve"> (12th ed.). McGraw-Hill Education.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Krugman, P., &amp; Wells, R. (2020). </w:t>
      </w:r>
      <w:r w:rsidDel="00000000" w:rsidR="00000000" w:rsidRPr="00000000">
        <w:rPr>
          <w:i w:val="1"/>
          <w:rtl w:val="0"/>
        </w:rPr>
        <w:t xml:space="preserve">Macroeconomics</w:t>
      </w:r>
      <w:r w:rsidDel="00000000" w:rsidR="00000000" w:rsidRPr="00000000">
        <w:rPr>
          <w:rtl w:val="0"/>
        </w:rPr>
        <w:t xml:space="preserve"> (6th ed.). Worth Publishers.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Mishkin, F. S. (2019). </w:t>
      </w:r>
      <w:r w:rsidDel="00000000" w:rsidR="00000000" w:rsidRPr="00000000">
        <w:rPr>
          <w:i w:val="1"/>
          <w:rtl w:val="0"/>
        </w:rPr>
        <w:t xml:space="preserve">The economics of money, banking, and financial markets</w:t>
      </w:r>
      <w:r w:rsidDel="00000000" w:rsidR="00000000" w:rsidRPr="00000000">
        <w:rPr>
          <w:rtl w:val="0"/>
        </w:rPr>
        <w:t xml:space="preserve"> (12th ed.). Pearson.</w:t>
      </w:r>
    </w:p>
    <w:p w:rsidR="00000000" w:rsidDel="00000000" w:rsidP="00000000" w:rsidRDefault="00000000" w:rsidRPr="00000000" w14:paraId="0000000A">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