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8sjhwv9na2zq" w:id="0"/>
      <w:bookmarkEnd w:id="0"/>
      <w:r w:rsidDel="00000000" w:rsidR="00000000" w:rsidRPr="00000000">
        <w:rPr>
          <w:b w:val="1"/>
          <w:sz w:val="34"/>
          <w:szCs w:val="34"/>
          <w:rtl w:val="0"/>
        </w:rPr>
        <w:t xml:space="preserve">Science and Technology: Driving Innovation and Human Progress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Science and technology have propelled humanity toward unprecedented advancements, transforming industries and daily life. Scientific discoveries provide the foundation for technological innovations that improve health, communication, and sustainability (Kaku, 2018).</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Technology, in turn, accelerates research and development in fields such as artificial intelligence, biotechnology, and space exploration. Innovations in renewable energy and medical breakthroughs contribute to global sustainability and human well-being (Brynjolfsson &amp; McAfee, 2017). However, ethical concerns about privacy, automation, and AI-driven decision-making require careful regulatory oversight.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Furthermore, interdisciplinary collaboration between scientists, engineers, and policymakers fosters innovation while addressing societal challenges. Emerging technologies like quantum computing and nanotechnology hold the potential to reshape industries and scientific research (Tegmark, 2019).</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As science and technology evolve, their integration into society must balance progress with ethical considerations. Understanding their impact is crucial for ensuring responsible innovation and sustainable development.</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glxawynjo9k3"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Brynjolfsson, E., &amp; McAfee, A. (2017). </w:t>
      </w:r>
      <w:r w:rsidDel="00000000" w:rsidR="00000000" w:rsidRPr="00000000">
        <w:rPr>
          <w:i w:val="1"/>
          <w:rtl w:val="0"/>
        </w:rPr>
        <w:t xml:space="preserve">The second machine age: Work, progress, and prosperity in a time of brilliant technologies</w:t>
      </w:r>
      <w:r w:rsidDel="00000000" w:rsidR="00000000" w:rsidRPr="00000000">
        <w:rPr>
          <w:rtl w:val="0"/>
        </w:rPr>
        <w:t xml:space="preserve">. W. W. Norton &amp; Company.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Kaku, M. (2018). </w:t>
      </w:r>
      <w:r w:rsidDel="00000000" w:rsidR="00000000" w:rsidRPr="00000000">
        <w:rPr>
          <w:i w:val="1"/>
          <w:rtl w:val="0"/>
        </w:rPr>
        <w:t xml:space="preserve">The future of humanity: Terraforming Mars, interstellar travel, immortality, and our destiny beyond Earth</w:t>
      </w:r>
      <w:r w:rsidDel="00000000" w:rsidR="00000000" w:rsidRPr="00000000">
        <w:rPr>
          <w:rtl w:val="0"/>
        </w:rPr>
        <w:t xml:space="preserve">. Doubleday.</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Tegmark, M. (2019). </w:t>
      </w:r>
      <w:r w:rsidDel="00000000" w:rsidR="00000000" w:rsidRPr="00000000">
        <w:rPr>
          <w:i w:val="1"/>
          <w:rtl w:val="0"/>
        </w:rPr>
        <w:t xml:space="preserve">Life 3.0: Being human in the age of artificial intelligence</w:t>
      </w:r>
      <w:r w:rsidDel="00000000" w:rsidR="00000000" w:rsidRPr="00000000">
        <w:rPr>
          <w:rtl w:val="0"/>
        </w:rPr>
        <w:t xml:space="preserve">. Vintage.</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