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器灵 产物总目录与阅读顺序</w:t>
      </w:r>
    </w:p>
    <w:p>
      <w:r>
        <w:rPr>
          <w:b/>
        </w:rPr>
        <w:t>整理日期 2026年10月16日  ·  文档阅读包导航</w:t>
      </w:r>
    </w:p>
    <w:p>
      <w:r>
        <w:rPr>
          <w:b w:val="0"/>
        </w:rPr>
        <w:t>先从总PRD确定产品范围，再用行为补充补齐交互与验收；涉及实体圆屏时，必须同时应用最新非触屏修订。本目录只整理已有产物、适用范围和替代关系，不新增设计或改变批准状态。</w:t>
      </w:r>
    </w:p>
    <w:p>
      <w:pPr>
        <w:pStyle w:val="Heading1"/>
      </w:pPr>
      <w:r>
        <w:t>最短阅读路线</w:t>
      </w:r>
    </w:p>
    <w:p>
      <w:pPr>
        <w:pStyle w:val="Heading2"/>
      </w:pPr>
      <w:r>
        <w:t>1 先看产品全貌</w:t>
      </w:r>
    </w:p>
    <w:p>
      <w:r>
        <w:rPr>
          <w:b w:val="0"/>
        </w:rPr>
        <w:t>01_需求基线 → 模块PRD_V1.3 → 00_产品总PRD.md。先读V1.3摘要、产品边界与最小闭环，再按职责打开相关模块。</w:t>
      </w:r>
    </w:p>
    <w:p>
      <w:pPr>
        <w:pStyle w:val="Heading2"/>
      </w:pPr>
      <w:r>
        <w:t>2 再看具体行为</w:t>
      </w:r>
    </w:p>
    <w:p>
      <w:r>
        <w:rPr>
          <w:b w:val="0"/>
        </w:rPr>
        <w:t>02_行为补充 → 器灵_UI行为与验收补充_PRD_V1.3.docx。它是74条行为与验收补充，不是产品总PRD；详读时按总PRD内指引交叉阅读模块附录、决策记录和覆盖矩阵。</w:t>
      </w:r>
    </w:p>
    <w:p>
      <w:pPr>
        <w:pStyle w:val="Heading2"/>
      </w:pPr>
      <w:r>
        <w:t>3 硬件必须补读修订</w:t>
      </w:r>
    </w:p>
    <w:p>
      <w:r>
        <w:rPr>
          <w:b w:val="0"/>
        </w:rPr>
        <w:t>03_非触屏修订 → 器灵_非触摸显示屏_补充修订.docx，并对照旧条款替代清单.md。屏幕只显示表情与状态，不承载触屏或逐项循环选择菜单。</w:t>
      </w:r>
    </w:p>
    <w:p>
      <w:pPr>
        <w:pStyle w:val="Heading2"/>
      </w:pPr>
      <w:r>
        <w:t>4 按任务查专项</w:t>
      </w:r>
    </w:p>
    <w:p>
      <w:r>
        <w:rPr>
          <w:b w:val="0"/>
        </w:rPr>
        <w:t>做App设置与教学，读《器灵_交互补图与PRD承接.docx》的非冲突部分；做验证板评审，读04_PCB评审；看视觉效果，再查第3页图册清单。</w:t>
      </w:r>
    </w:p>
    <w:p>
      <w:pPr>
        <w:pStyle w:val="Heading1"/>
      </w:pPr>
      <w:r>
        <w:t>版本与证据怎么判断</w:t>
      </w:r>
    </w:p>
    <w:p>
      <w:r>
        <w:rPr>
          <w:b w:val="0"/>
        </w:rPr>
        <w:t>• 版本号分属不同层：PRD V1.3、UI V0.2、非触屏R1、PCB V0.1不能互相比大小，也不存在一个V1.3覆盖所有产物。</w:t>
      </w:r>
    </w:p>
    <w:p>
      <w:r>
        <w:rPr>
          <w:b w:val="0"/>
        </w:rPr>
        <w:t>• 规则冲突以最新明确修订为准；只覆盖冲突内容，未冲突的产品能力、App流程与安全约束继续保留。</w:t>
      </w:r>
    </w:p>
    <w:p>
      <w:r>
        <w:rPr>
          <w:b w:val="0"/>
        </w:rPr>
        <w:t>• 模块PRD_V1.3保留V1.2历史原文、就近替代标记和V1.3附录，并非清理合并后的单一正文。不要直接照抄历史段落。</w:t>
      </w:r>
    </w:p>
    <w:p>
      <w:r>
        <w:rPr>
          <w:b w:val="0"/>
        </w:rPr>
        <w:t>• “现行阅读依据”不等于全部批准或实现。未批准政策、实体按法和权限边界继续待确认；图稿、模拟跳转、规格、批准与真实实测须分别判断。</w:t>
      </w:r>
    </w:p>
    <w:p>
      <w:r>
        <w:br w:type="page"/>
      </w:r>
    </w:p>
    <w:p>
      <w:pPr>
        <w:pStyle w:val="Heading1"/>
      </w:pPr>
      <w:r>
        <w:t>文档阅读包目录</w:t>
      </w:r>
    </w:p>
    <w:p>
      <w:r>
        <w:rPr>
          <w:b w:val="0"/>
        </w:rPr>
        <w:t>先打开开始阅读.html或先读我.md。轻量包不重复收录大图册、原型与概念图；首页的包内链接可导航，正文保留的原UI相对引用仍需原UI包。</w:t>
      </w:r>
    </w:p>
    <w:p>
      <w:pPr>
        <w:pStyle w:val="Heading2"/>
      </w:pPr>
      <w:r>
        <w:t>01_需求基线</w:t>
      </w:r>
    </w:p>
    <w:p>
      <w:r>
        <w:rPr>
          <w:b/>
        </w:rPr>
        <w:t>模块PRD_V1.3共13份，包含1份总PRD和12份专题／追踪文件。</w:t>
      </w:r>
    </w:p>
    <w:p>
      <w:r>
        <w:rPr>
          <w:b w:val="0"/>
        </w:rPr>
        <w:t>00_产品总PRD.md    ｜    01_实体光剑硬件.md</w:t>
      </w:r>
    </w:p>
    <w:p>
      <w:r>
        <w:rPr>
          <w:b w:val="0"/>
        </w:rPr>
        <w:t>02_视觉与表情.md    ｜    03_AI人格与记忆.md</w:t>
      </w:r>
    </w:p>
    <w:p>
      <w:r>
        <w:rPr>
          <w:b w:val="0"/>
        </w:rPr>
        <w:t>04_体感动作与战斗.md    ｜    05_双线养成.md</w:t>
      </w:r>
    </w:p>
    <w:p>
      <w:r>
        <w:rPr>
          <w:b w:val="0"/>
        </w:rPr>
        <w:t>06_NFC卡牌.md    ｜    07_Unity_App.md</w:t>
      </w:r>
    </w:p>
    <w:p>
      <w:r>
        <w:rPr>
          <w:b w:val="0"/>
        </w:rPr>
        <w:t>08_账号与系统协作.md    ｜    09_游戏玩法与关卡.md</w:t>
      </w:r>
    </w:p>
    <w:p>
      <w:r>
        <w:rPr>
          <w:b w:val="0"/>
        </w:rPr>
        <w:t>10_闭环验收与评审记录.md    ｜    11_需求决策记录.md</w:t>
      </w:r>
    </w:p>
    <w:p>
      <w:r>
        <w:rPr>
          <w:b w:val="0"/>
        </w:rPr>
        <w:t>12_原型补充与追踪.md</w:t>
      </w:r>
    </w:p>
    <w:p>
      <w:r>
        <w:rPr>
          <w:b w:val="0"/>
        </w:rPr>
        <w:t>配套索引：UI行为与验收补充.md、改版决策记录.md、覆盖矩阵.md、画面索引.csv、视觉与组件规范.md。</w:t>
      </w:r>
    </w:p>
    <w:p>
      <w:pPr>
        <w:pStyle w:val="Heading2"/>
      </w:pPr>
      <w:r>
        <w:t>02_行为补充</w:t>
      </w:r>
    </w:p>
    <w:p>
      <w:r>
        <w:rPr>
          <w:b/>
        </w:rPr>
        <w:t>器灵_UI行为与验收补充_PRD_V1.3.docx</w:t>
      </w:r>
    </w:p>
    <w:p>
      <w:r>
        <w:rPr>
          <w:b w:val="0"/>
        </w:rPr>
        <w:t>用途：74条UI行为与配套验收，承接全横屏方案。实体菜单相关条款必须叠加03修订。</w:t>
      </w:r>
    </w:p>
    <w:p>
      <w:r>
        <w:rPr>
          <w:b/>
        </w:rPr>
        <w:t>器灵_交互补图与PRD承接.docx</w:t>
      </w:r>
    </w:p>
    <w:p>
      <w:r>
        <w:rPr>
          <w:b w:val="0"/>
        </w:rPr>
        <w:t>用途：设置、教学及原实体菜单补图的承接说明。App非冲突部分继续有效；旧实体菜单流程已被03修订覆盖。</w:t>
      </w:r>
    </w:p>
    <w:p>
      <w:pPr>
        <w:pStyle w:val="Heading2"/>
      </w:pPr>
      <w:r>
        <w:t>03_非触屏修订</w:t>
      </w:r>
    </w:p>
    <w:p>
      <w:r>
        <w:rPr>
          <w:b w:val="0"/>
        </w:rPr>
        <w:t>器灵_非触摸显示屏_补充修订.docx</w:t>
        <w:br/>
        <w:t>器灵_非触摸显示屏_补充修订.md</w:t>
        <w:br/>
        <w:t>旧条款替代清单.md</w:t>
        <w:br/>
        <w:t>states_mapping.md</w:t>
      </w:r>
    </w:p>
    <w:p>
      <w:r>
        <w:rPr>
          <w:b w:val="0"/>
        </w:rPr>
        <w:t>用途：定义当前显示边界、替代旧条款、追踪旧ID。保留独立触摸区与已有输入能力，不把屏幕变成输入界面。</w:t>
      </w:r>
    </w:p>
    <w:p>
      <w:pPr>
        <w:pStyle w:val="Heading2"/>
      </w:pPr>
      <w:r>
        <w:t>04_PCB评审</w:t>
      </w:r>
    </w:p>
    <w:p>
      <w:r>
        <w:rPr>
          <w:b/>
        </w:rPr>
        <w:t>器灵_IMU快速验证板选型与供电评审_V0.1.docx</w:t>
      </w:r>
    </w:p>
    <w:p>
      <w:r>
        <w:rPr>
          <w:b w:val="0"/>
        </w:rPr>
        <w:t>用途：IMU快速验证板的器件选型与供电评审。不是已完成EDA设计、PCB走线、Gerber或实测报告。</w:t>
      </w:r>
    </w:p>
    <w:p>
      <w:r>
        <w:br w:type="page"/>
      </w:r>
    </w:p>
    <w:p>
      <w:pPr>
        <w:pStyle w:val="Heading1"/>
      </w:pPr>
      <w:r>
        <w:t>图册 原型与历史产物</w:t>
      </w:r>
    </w:p>
    <w:p>
      <w:r>
        <w:rPr>
          <w:b w:val="0"/>
        </w:rPr>
        <w:t>以下按用途分组。混合新旧内容的文件只能在标明范围内使用，不能把整个文件直接交给开发当作现行输入。</w:t>
      </w:r>
    </w:p>
    <w:p>
      <w:pPr>
        <w:pStyle w:val="Heading2"/>
      </w:pPr>
      <w:r>
        <w:t>当前视觉依据 按适用范围阅读</w:t>
      </w:r>
    </w:p>
    <w:p>
      <w:r>
        <w:rPr>
          <w:b/>
        </w:rPr>
        <w:t>器灵_非触摸圆屏完整状态板.pdf</w:t>
      </w:r>
    </w:p>
    <w:p>
      <w:r>
        <w:rPr>
          <w:b w:val="0"/>
        </w:rPr>
        <w:t>最新硬件UI，7页。显示输出以此配合03修订阅读；66个旧ID是修订追踪映射，并非66张独立新页面，也不是设备实现或实测证据。</w:t>
      </w:r>
    </w:p>
    <w:p>
      <w:r>
        <w:rPr>
          <w:b/>
        </w:rPr>
        <w:t>器灵_全横屏与硬件UI图册_V0.2.pdf</w:t>
      </w:r>
    </w:p>
    <w:p>
      <w:r>
        <w:rPr>
          <w:b w:val="0"/>
        </w:rPr>
        <w:t>24页混合图册。App部分仍为现行视觉参考；旧硬件部分不再作为实体输入或菜单实现依据，应切换到非触屏状态板与修订文档。</w:t>
      </w:r>
    </w:p>
    <w:p>
      <w:r>
        <w:rPr>
          <w:b/>
        </w:rPr>
        <w:t>器灵_设置教学与实体菜单_交互补图.pdf</w:t>
      </w:r>
    </w:p>
    <w:p>
      <w:r>
        <w:rPr>
          <w:b w:val="0"/>
        </w:rPr>
        <w:t>App设置与教学中的非冲突内容可继续阅读；旧实体菜单图已被非触屏修订替代。不能因保留旧ID或图示而恢复菜单流程。</w:t>
      </w:r>
    </w:p>
    <w:p>
      <w:r>
        <w:rPr>
          <w:b/>
        </w:rPr>
        <w:t>器灵_全横屏可点击原型.html</w:t>
      </w:r>
    </w:p>
    <w:p>
      <w:r>
        <w:rPr>
          <w:b w:val="0"/>
        </w:rPr>
        <w:t>用于查看横屏App的模拟交互。模拟跳转不代表功能已实现；涉及旧硬件行为时，仍须按非触屏修订判断。</w:t>
      </w:r>
    </w:p>
    <w:p>
      <w:pPr>
        <w:pStyle w:val="Heading2"/>
      </w:pPr>
      <w:r>
        <w:t>历史追溯 不作为优先入口</w:t>
      </w:r>
    </w:p>
    <w:p>
      <w:r>
        <w:rPr>
          <w:b w:val="0"/>
        </w:rPr>
        <w:t>• V1.1模块Word及V1.2原文：保留决策来源和演变，不替代本包的现行入口。</w:t>
      </w:r>
    </w:p>
    <w:p>
      <w:r>
        <w:rPr>
          <w:b w:val="0"/>
        </w:rPr>
        <w:t>• 器灵_光剑与游戏App_标注原型_V0.1.pdf、器灵_原型评审图册.html、器灵_高保真可点击原型.html：旧原型追溯材料。</w:t>
      </w:r>
    </w:p>
    <w:p>
      <w:r>
        <w:rPr>
          <w:b w:val="0"/>
        </w:rPr>
        <w:t>• 旧完整ZIP及硬件UI包可能保留已废止菜单。包名或版本号不能保证包内每一项仍有效，必须核对本目录的覆盖关系。</w:t>
      </w:r>
    </w:p>
    <w:p>
      <w:pPr>
        <w:pStyle w:val="Heading2"/>
      </w:pPr>
      <w:r>
        <w:t>概念候选 尚未选款</w:t>
      </w:r>
    </w:p>
    <w:p>
      <w:r>
        <w:rPr>
          <w:b w:val="0"/>
        </w:rPr>
        <w:t>原4款外观方案与器灵_三态同体_外观修订概念.png均属候选概念，没有确定最终款式。通用圆柱柄方向已被否定；不要把任何概念图当作结构定稿、尺寸依据或量产方案。</w:t>
      </w:r>
    </w:p>
    <w:p>
      <w:pPr>
        <w:pStyle w:val="Heading2"/>
      </w:pPr>
      <w:r>
        <w:t>交接前最后检查</w:t>
      </w:r>
    </w:p>
    <w:p>
      <w:r>
        <w:rPr>
          <w:b w:val="0"/>
        </w:rPr>
        <w:t>确认交接的是哪个模块、哪种证据；硬件材料带上03修订；不从旧原型恢复已废止菜单；不把待批准项、模拟演示、选型建议或外观概念写成已实现结论。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器灵 产物总目录与阅读顺序</dc:title>
  <dc:subject>文档阅读包导航与适用范围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