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Dear Editor,</w:t>
      </w:r>
    </w:p>
    <w:p>
      <w:pPr>
        <w:pStyle w:val="BodyText"/>
      </w:pPr>
      <w:r>
        <w:t xml:space="preserve">Please consider our manuscript entitled</w:t>
      </w:r>
      <w:r>
        <w:t xml:space="preserve"> </w:t>
      </w:r>
      <w:r>
        <w:rPr>
          <w:b/>
          <w:bCs/>
        </w:rPr>
        <w:t xml:space="preserve">“</w:t>
      </w:r>
      <w:r>
        <w:rPr>
          <w:b/>
          <w:bCs/>
        </w:rPr>
        <w:t xml:space="preserve">Reduced 2D uncertainty-aware electro-thermal modeling of transmural lesion formation during radiofrequency cardiac ablation</w:t>
      </w:r>
      <w:r>
        <w:rPr>
          <w:b/>
          <w:bCs/>
        </w:rPr>
        <w:t xml:space="preserve">”</w:t>
      </w:r>
      <w:r>
        <w:t xml:space="preserve"> </w:t>
      </w:r>
      <w:r>
        <w:t xml:space="preserve">for publication in</w:t>
      </w:r>
      <w:r>
        <w:t xml:space="preserve"> </w:t>
      </w:r>
      <w:r>
        <w:rPr>
          <w:i/>
          <w:iCs/>
        </w:rPr>
        <w:t xml:space="preserve">Computer Methods and Programs in Biomedicine</w:t>
      </w:r>
      <w:r>
        <w:t xml:space="preserve">.</w:t>
      </w:r>
    </w:p>
    <w:p>
      <w:pPr>
        <w:pStyle w:val="BodyText"/>
      </w:pPr>
      <w:r>
        <w:t xml:space="preserve">This work presents a computational methodology for low-cost, interpretable comparison of radiofrequency cardiac ablation protocols under uncertain contact and cooling conditions. Using a reduced two-dimensional electro-thermal-damage framework, we compared standard (30 W/30 s), high-power short-duration (50 W/10 s), and very-high-power short-duration (90 W/4 s) protocols across wall thickness, insertion depth as a contact surrogate, and effective cooling strength. In addition to deterministic scans, the manuscript introduces uncertainty-aware transmurality and overheating maps, together with trade-off summaries that expose protocol-specific operating regions.</w:t>
      </w:r>
    </w:p>
    <w:p>
      <w:pPr>
        <w:pStyle w:val="BodyText"/>
      </w:pPr>
      <w:r>
        <w:t xml:space="preserve">The main findings are that lesion penetration consistently ranked standard &gt; HPSD &gt; vHPSD across the scanned parameter space, whereas vHPSD showed the strongest overheating susceptibility under thin-wall, weak-cooling, and aggressive-contact conditions. A literature-derived benchmark further showed that the reduced model reproduced the protocol-level ranking reported experimentally, while underestimating absolute lesion depth under the nominal setup. We therefore position the framework as a comparative and methodology-focused protocol-mapping tool rather than a patient-specific quantitative lesion predictor.</w:t>
      </w:r>
    </w:p>
    <w:p>
      <w:pPr>
        <w:pStyle w:val="BodyText"/>
      </w:pPr>
      <w:r>
        <w:t xml:space="preserve">We believe the manuscript is well aligned with the aims of</w:t>
      </w:r>
      <w:r>
        <w:t xml:space="preserve"> </w:t>
      </w:r>
      <w:r>
        <w:rPr>
          <w:i/>
          <w:iCs/>
        </w:rPr>
        <w:t xml:space="preserve">Computer Methods and Programs in Biomedicine</w:t>
      </w:r>
      <w:r>
        <w:t xml:space="preserve"> </w:t>
      </w:r>
      <w:r>
        <w:t xml:space="preserve">because it emphasizes biomedical computing methodology, interpretable software workflow, numerical verification, and uncertainty-aware analysis in a clinically relevant problem.</w:t>
      </w:r>
    </w:p>
    <w:p>
      <w:pPr>
        <w:pStyle w:val="BodyText"/>
      </w:pPr>
      <w:r>
        <w:t xml:space="preserve">This manuscript is original, has not been published previously, and is not under consideration elsewhere. All authors have approved the submitted version. Any conflicts of interest, funding, and author contribution statements will be provided in the manuscript submission.</w:t>
      </w:r>
    </w:p>
    <w:p>
      <w:pPr>
        <w:pStyle w:val="BodyText"/>
      </w:pPr>
      <w:r>
        <w:t xml:space="preserve">Thank you for your consideration.</w:t>
      </w:r>
    </w:p>
    <w:p>
      <w:pPr>
        <w:pStyle w:val="BodyText"/>
      </w:pPr>
      <w:r>
        <w:t xml:space="preserve">Sincerely,</w:t>
      </w:r>
    </w:p>
    <w:p>
      <w:pPr>
        <w:pStyle w:val="BodyText"/>
      </w:pPr>
      <w:r>
        <w:t xml:space="preserve">[Corresponding Author Name]</w:t>
      </w:r>
      <w:r>
        <w:t xml:space="preserve"> </w:t>
      </w:r>
      <w:r>
        <w:t xml:space="preserve">[Affiliation]</w:t>
      </w:r>
      <w:r>
        <w:t xml:space="preserve"> </w:t>
      </w:r>
      <w:r>
        <w:t xml:space="preserve">[Email]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2026-03-13T04:12:45Z</dcterms:created>
  <dcterms:modified xsi:type="dcterms:W3CDTF">2026-03-13T04:12:45Z</dcterms:modified>
</cp:coreProperties>
</file>

<file path=docProps/custom.xml><?xml version="1.0" encoding="utf-8"?>
<Properties xmlns="http://schemas.openxmlformats.org/officeDocument/2006/custom-properties" xmlns:vt="http://schemas.openxmlformats.org/officeDocument/2006/docPropsVTypes"/>
</file>