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sponse-to-reviewers-v5"/>
    <w:p>
      <w:pPr>
        <w:pStyle w:val="Heading1"/>
      </w:pPr>
      <w:r>
        <w:t xml:space="preserve">Response to reviewers (v5)</w:t>
      </w:r>
    </w:p>
    <w:p>
      <w:pPr>
        <w:pStyle w:val="FirstParagraph"/>
      </w:pPr>
      <w:r>
        <w:t xml:space="preserve">We thank the reviewer for the constructive and technically precise assessment. We agree with the overall characterization that the manuscript had improved scientifically but still required a final round of technical correction before submission. In this revision we focused on manuscript/figure consistency, the explicit definition of the power-scaling and contact-surrogate rules, removal of revision-process wording from the manuscript body, clarification of the uncertainty-design description, and substantial expansion of the reference list.</w:t>
      </w:r>
    </w:p>
    <w:bookmarkStart w:id="20" w:name="X53bff18ddc9ac8eed6b0fba8b9bb759e70c6db8"/>
    <w:p>
      <w:pPr>
        <w:pStyle w:val="Heading2"/>
      </w:pPr>
      <w:r>
        <w:t xml:space="preserve">Comment 1. Figure 8 remained a placeholder in the submitted PDF.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Agreed. Figure 8 has been replaced by a populated literature-derived benchmark figure. The figure no longer contains template text and the manuscript text, caption, and rebuttal now consistently describe it as a trend-level protocol benchmark rather than strict validation.</w:t>
      </w:r>
    </w:p>
    <w:bookmarkEnd w:id="20"/>
    <w:bookmarkStart w:id="21" w:name="X059516ee217da908235828f760a9aa79b275141"/>
    <w:p>
      <w:pPr>
        <w:pStyle w:val="Heading2"/>
      </w:pPr>
      <w:r>
        <w:t xml:space="preserve">Comment 2. Figure 3 caption did not match the actual figure.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Agreed. The manuscript now includes the six-panel deterministic summary figure that matches the caption text. The caption and embedded artwork have been checked together in the final PDF.</w:t>
      </w:r>
    </w:p>
    <w:bookmarkEnd w:id="21"/>
    <w:bookmarkStart w:id="22" w:name="Xfbf444053f1a28fd3020a5feb29f046d6b9e506"/>
    <w:p>
      <w:pPr>
        <w:pStyle w:val="Heading2"/>
      </w:pPr>
      <w:r>
        <w:t xml:space="preserve">Comment 3. Supplementary Figure S3 did not match the text description.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Agreed. Figure S3 has been replaced by the Wilson-score confidence-interval half-width distribution figure, which now matches both the main text and the supplementary caption.</w:t>
      </w:r>
    </w:p>
    <w:bookmarkEnd w:id="22"/>
    <w:bookmarkStart w:id="23" w:name="Xc12b6cd1dc646e9b4c2b216060ade4fca296974"/>
    <w:p>
      <w:pPr>
        <w:pStyle w:val="Heading2"/>
      </w:pPr>
      <w:r>
        <w:t xml:space="preserve">Comment 4. The power-scaling rule and contact surrogate remained insufficiently specified.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Agreed. Section 2.4 now states the power-scaling and contact-surrogate rules explicitly. We define the regularized and depth-shifted source, the power scaling coefficient, the contact-gain factor applied to source amplitude, and the clipped cooling-reduction factor applied over the electrode footprint.</w:t>
      </w:r>
    </w:p>
    <w:bookmarkEnd w:id="23"/>
    <w:bookmarkStart w:id="24" w:name="Xdb9364fecd56f0177af5ac794dac645dcc9d4af"/>
    <w:p>
      <w:pPr>
        <w:pStyle w:val="Heading2"/>
      </w:pPr>
      <w:r>
        <w:t xml:space="preserve">Comment 5. The manuscript still contained revision-process language.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Agreed. All phrases such as</w:t>
      </w:r>
      <w:r>
        <w:t xml:space="preserve"> </w:t>
      </w:r>
      <w:r>
        <w:t xml:space="preserve">“</w:t>
      </w:r>
      <w:r>
        <w:t xml:space="preserve">after the stage16 revision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paper-level revised results</w:t>
      </w:r>
      <w:r>
        <w:t xml:space="preserve">”</w:t>
      </w:r>
      <w:r>
        <w:t xml:space="preserve">, and similar process-oriented wording were removed from the scientific manuscript and retained only in internal notes.</w:t>
      </w:r>
    </w:p>
    <w:bookmarkEnd w:id="24"/>
    <w:bookmarkStart w:id="25" w:name="X2e2afc6a84cda6d97b54b5562b6117f4014e674"/>
    <w:p>
      <w:pPr>
        <w:pStyle w:val="Heading2"/>
      </w:pPr>
      <w:r>
        <w:t xml:space="preserve">Comment 6. Figures 5–6 could still be misread as low-sample probability maps.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We clarified in Methods and captions that each nominal cell is based on 64 stratified samples and that probability uncertainty is summarized with 95% Wilson-score confidence intervals. Supplementary Figure S3 provides an explicit confidence-interval summary to support the stability of the displayed probability maps.</w:t>
      </w:r>
    </w:p>
    <w:bookmarkEnd w:id="25"/>
    <w:bookmarkStart w:id="26" w:name="X953c32ad2bfb69ba5250f89bedee7f95b8d9a22"/>
    <w:p>
      <w:pPr>
        <w:pStyle w:val="Heading2"/>
      </w:pPr>
      <w:r>
        <w:t xml:space="preserve">Comment 7. The reference list remained too small.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Agreed. The reference list was expanded from a small foundational set to a broader RF-cardiac-ablation modeling bibliography including classical thermal-injury references, irrigated-electrode modeling work, dynamic-contact modeling, HPSD/vHPSD experimental and clinical studies, contact-area work, and uncertainty-quantification background references.</w:t>
      </w:r>
    </w:p>
    <w:p>
      <w:pPr>
        <w:pStyle w:val="BodyText"/>
      </w:pPr>
      <w:r>
        <w:t xml:space="preserve">Overall, we believe that the revised manuscript now addresses the major scientific and technical concerns raised in the previous review round.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2026-03-13T07:29:16Z</dcterms:created>
  <dcterms:modified xsi:type="dcterms:W3CDTF">2026-03-13T07:29:16Z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