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64" w:lineRule="auto"/>
        <w:jc w:val="center"/>
      </w:pPr>
      <w:r>
        <w:rPr>
          <w:rFonts w:ascii="Times New Roman" w:hAnsi="Times New Roman" w:eastAsia="SimSun"/>
          <w:b/>
          <w:i w:val="0"/>
          <w:color w:val="3A5F99"/>
          <w:sz w:val="32"/>
        </w:rPr>
        <w:t>CMBBE 投稿提交文件清单</w:t>
      </w:r>
    </w:p>
    <w:p>
      <w:pPr>
        <w:spacing w:before="0" w:after="160" w:line="276" w:lineRule="auto"/>
      </w:pPr>
      <w:r>
        <w:rPr>
          <w:rFonts w:ascii="Times New Roman" w:hAnsi="Times New Roman" w:eastAsia="SimSun"/>
          <w:b/>
          <w:i w:val="0"/>
          <w:color w:val="3A5F99"/>
          <w:sz w:val="25"/>
        </w:rPr>
        <w:t>已完成的文稿整理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SimSun"/>
          <w:b w:val="0"/>
          <w:i w:val="0"/>
          <w:sz w:val="22"/>
        </w:rPr>
        <w:t>主文稿已整理为两个版本：含作者信息版 + 匿名版。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SimSun"/>
          <w:b w:val="0"/>
          <w:i w:val="0"/>
          <w:sz w:val="22"/>
        </w:rPr>
        <w:t>Funding 已规范为无资助表述；Acknowledgements 空白节已删除。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SimSun"/>
          <w:b w:val="0"/>
          <w:i w:val="0"/>
          <w:sz w:val="22"/>
        </w:rPr>
        <w:t>表 1 已压缩并避免跨页拆行；正文、图、表和参考文献编号已复核。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SimSun"/>
          <w:b w:val="0"/>
          <w:i w:val="0"/>
          <w:sz w:val="22"/>
        </w:rPr>
        <w:t>Data availability statement 已改成不暴露作者身份的通用表述。</w:t>
      </w:r>
    </w:p>
    <w:p>
      <w:pPr>
        <w:spacing w:before="240" w:after="160" w:line="276" w:lineRule="auto"/>
      </w:pPr>
      <w:r>
        <w:rPr>
          <w:rFonts w:ascii="Times New Roman" w:hAnsi="Times New Roman" w:eastAsia="SimSun"/>
          <w:b/>
          <w:i w:val="0"/>
          <w:color w:val="3A5F99"/>
          <w:sz w:val="25"/>
        </w:rPr>
        <w:t>建议上传文件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/>
          <w:cantSplit/>
        </w:trP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文件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建议文件名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是否需要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当前状态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主文稿（含作者信息）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CMBBE_main_document_with_author_details.docx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建议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如系统只要求单份 manuscript，可优先用此文件。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匿名主文稿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CMBBE_main_document_blinded_final.docx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按系统要求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若系统/期刊要求 double-anonymous，则上传为匿名审稿稿。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Title page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CMBBE_title_page.docx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建议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请在提交前补上对应作者姓名和邮箱。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Figure files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Figure1–Figure8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建议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需你确认原图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优先上传原始高分辨率 PNG/TIFF/PDF/EPS；文件名与文中图号一致。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Table files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Table1–Table3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视系统而定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可从主文稿拆分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初审常可保留在主文稿；若系统要求 editable tables，再单独上传。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Cover letter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Cover_letter_CMBBE.docx/pdf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建议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待准备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简述题目、创新点、期刊匹配性、无一稿多投。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Supplementary material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Supplementary_Figures.docx/pdf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可选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视你是否单独上传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Appendix A 已在主文稿内；只有系统要求时再拆出。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Code / README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Code_and_README.zip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强烈建议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待准备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至少包含运行说明、版本信息、主要脚本和生成图表的最小示例。</w:t>
            </w:r>
          </w:p>
        </w:tc>
      </w:tr>
    </w:tbl>
    <w:p>
      <w:pPr>
        <w:spacing w:before="240" w:after="160" w:line="276" w:lineRule="auto"/>
      </w:pPr>
      <w:r>
        <w:rPr>
          <w:rFonts w:ascii="Times New Roman" w:hAnsi="Times New Roman" w:eastAsia="SimSun"/>
          <w:b/>
          <w:i w:val="0"/>
          <w:color w:val="3A5F99"/>
          <w:sz w:val="25"/>
        </w:rPr>
        <w:t>提交前最后核对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SimSun"/>
          <w:b w:val="0"/>
          <w:i w:val="0"/>
          <w:sz w:val="22"/>
        </w:rPr>
        <w:t>在 submission system 中确认 CMBBE 当前是否要求匿名审稿稿；若要求，则同时上传匿名版和带作者信息版/Title page。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SimSun"/>
          <w:b w:val="0"/>
          <w:i w:val="0"/>
          <w:sz w:val="22"/>
        </w:rPr>
        <w:t>补上 corresponding author 的英文姓名、邮箱、通讯地址。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SimSun"/>
          <w:b w:val="0"/>
          <w:i w:val="0"/>
          <w:sz w:val="22"/>
        </w:rPr>
        <w:t>确认 Figure 1–8 是否都有可单独上传的原图文件，分辨率和字体清晰度是否足够。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SimSun"/>
          <w:b w:val="0"/>
          <w:i w:val="0"/>
          <w:sz w:val="22"/>
        </w:rPr>
        <w:t>若不公开代码，至少准备 README，说明代码/数据可按合理请求提供。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SimSun"/>
          <w:b w:val="0"/>
          <w:i w:val="0"/>
          <w:sz w:val="22"/>
        </w:rPr>
        <w:t>提交前用系统生成的 PDF proof 再检查一次图表、页眉页脚和作者信息。</w:t>
      </w:r>
    </w:p>
    <w:sectPr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