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F4F"/>
          <w:sz w:val="34"/>
        </w:rPr>
        <w:t>Response to Reviewer (Major Revision Draft)</w:t>
      </w:r>
    </w:p>
    <w:p>
      <w:r>
        <w:t>This draft response corresponds to the revised manuscript version incorporating expanded methods, updated uncertainty quantification, added lesion geometry metrics, and a populated trend-level literature benchmark.</w:t>
      </w:r>
    </w:p>
    <w:p>
      <w:pPr>
        <w:pStyle w:val="Heading1"/>
      </w:pPr>
      <w:r>
        <w:t>Draft response to reviewer (major revision)</w:t>
      </w:r>
    </w:p>
    <w:p>
      <w:r>
        <w:t>We thank the reviewer for the careful, constructive, and technically informed assessment of our manuscript. We agree that the earlier draft was not yet sufficiently complete or methodologically explicit for formal submission. In the revised manuscript, we addressed manuscript completeness, expanded the mathematical and numerical description, strengthened the uncertainty-quantification section, clarified the interpretation of vHPSD-related findings, added lesion-width and lesion-area metrics, and replaced the previous Figure 8 placeholder with a populated literature-derived trend benchmark.</w:t>
      </w:r>
    </w:p>
    <w:p>
      <w:pPr>
        <w:pStyle w:val="Heading2"/>
      </w:pPr>
      <w:r>
        <w:t>1. Manuscript completeness and placeholder content</w:t>
        <w:br/>
        <w:t>**Reviewer comment:** The manuscript was incomplete and still contained placeholder material, including author metadata and a Figure 8 template.</w:t>
      </w:r>
    </w:p>
    <w:p>
      <w:r>
        <w:t>**Response:** We agree. All placeholder content has now been removed. The manuscript metadata, declarations, and figure set were completed. Figure 8 is now populated with literature-derived protocol-level benchmark points rather than a placeholder template.</w:t>
      </w:r>
    </w:p>
    <w:p>
      <w:pPr>
        <w:pStyle w:val="Heading2"/>
      </w:pPr>
      <w:r>
        <w:t>2. Reproducibility of the computational model</w:t>
        <w:br/>
        <w:t>**Reviewer comment:** The Methods section was too brief to ensure reproducibility.</w:t>
      </w:r>
    </w:p>
    <w:p>
      <w:r>
        <w:t>**Response:** We agree and substantially expanded the Methods section. The revised version now explicitly states the governing equations for the quasi-static electrical problem, transient bioheat problem, and Arrhenius damage model; the geometric dimensions of the electrode–blood–myocardium configuration; boundary and initial conditions; material properties; protocol implementation; and the numerical settings used for grid, time-step, and solver selection.</w:t>
      </w:r>
    </w:p>
    <w:p>
      <w:pPr>
        <w:pStyle w:val="Heading2"/>
      </w:pPr>
      <w:r>
        <w:t>3. Underdescribed and apparently undersampled uncertainty quantification</w:t>
        <w:br/>
        <w:t>**Reviewer comment:** The UQ section lacked distributions, sample counts, independence assumptions, and convergence/uncertainty information, while the probability maps suggested very low sample counts.</w:t>
      </w:r>
    </w:p>
    <w:p>
      <w:r>
        <w:t>**Response:** We agree. The previous version did not document the UQ procedure adequately. The revised manuscript now explicitly reports the uncertain variables, their truncated-normal assumptions, the support ranges, the nominal means, the use of Latin-hypercube-style stratified sampling, the number of samples per cell used for the paper-level results, and Wilson-score confidence intervals for estimated probabilities. We also added a supplementary uncertainty-summary figure reporting the half-width of probability confidence intervals across cells.</w:t>
      </w:r>
    </w:p>
    <w:p>
      <w:pPr>
        <w:pStyle w:val="Heading2"/>
      </w:pPr>
      <w:r>
        <w:t>4. External benchmark too weak</w:t>
        <w:br/>
        <w:t>**Reviewer comment:** The literature-derived benchmark was incomplete and too limited.</w:t>
      </w:r>
    </w:p>
    <w:p>
      <w:r>
        <w:t>**Response:** We agree that the previous benchmark was insufficient. The revised manuscript retains a cautious trend-level benchmark rather than claiming strict validation. Figure 8 now compares protocol-level literature depth values against the reduced-model predictions and explicitly frames the comparison as a trend benchmark under non-geometry-matched conditions.</w:t>
      </w:r>
    </w:p>
    <w:p>
      <w:pPr>
        <w:pStyle w:val="Heading2"/>
      </w:pPr>
      <w:r>
        <w:t>5. Over-interpretation of vHPSD</w:t>
        <w:br/>
        <w:t>**Reviewer comment:** The manuscript risked overgeneralizing model findings into clinical claims.</w:t>
      </w:r>
    </w:p>
    <w:p>
      <w:r>
        <w:t>**Response:** We agree and softened the language throughout. The revised manuscript now states consistently that the findings are obtained under the present reduced 2D electro-thermal assumptions, without catheter-specific temperature-control logic or explicit irrigation-flow modeling, and therefore should be interpreted as model-based comparative findings rather than general clinical conclusions.</w:t>
      </w:r>
    </w:p>
    <w:p>
      <w:pPr>
        <w:pStyle w:val="Heading2"/>
      </w:pPr>
      <w:r>
        <w:t>6. Output metrics too strongly centered on depth</w:t>
        <w:br/>
        <w:t>**Reviewer comment:** The reported metrics favored standard RF by focusing mainly on lesion depth and transmurality.</w:t>
      </w:r>
    </w:p>
    <w:p>
      <w:r>
        <w:t>**Response:** We agree. To provide a more balanced protocol comparison, we expanded the reported deterministic geometry metrics to include maximum lesion width, lesion area, and depth-to-width ratio in addition to depth, depth fraction, transmurality, and overheating proxies.</w:t>
      </w:r>
    </w:p>
    <w:p>
      <w:pPr>
        <w:pStyle w:val="Heading2"/>
      </w:pPr>
      <w:r>
        <w:t>7. Novelty depends on methodological rigor rather than depth ranking itself</w:t>
        <w:br/>
        <w:t>**Reviewer comment:** The depth ranking among protocols is unsurprising; therefore, the value of the manuscript must rest on a stronger uncertainty-aware framework.</w:t>
      </w:r>
    </w:p>
    <w:p>
      <w:r>
        <w:t>**Response:** We agree. The revised manuscript now emphasizes that the main contribution is not the deterministic ranking itself, but the reduced-complexity framework for mapping transmurality and overheating risk across uncertain contact and cooling conditions, together with an explicit presentation of the sampling assumptions and probability-estimation uncertainty.</w:t>
      </w:r>
    </w:p>
    <w:p>
      <w:pPr>
        <w:pStyle w:val="Heading2"/>
      </w:pPr>
      <w:r>
        <w:t>8. Reference list too short</w:t>
        <w:br/>
        <w:t>**Reviewer comment:** The reference list was insufficient.</w:t>
      </w:r>
    </w:p>
    <w:p>
      <w:r>
        <w:t>**Response:** We agree. The revised manuscript expands the bibliography to cover RF cardiac ablation modeling, HPSD/vHPSD comparison studies, Arrhenius damage modeling, and uncertainty-aware computational bioheat modeling.</w:t>
      </w:r>
    </w:p>
    <w:sectPr w:rsidR="00FC693F" w:rsidRPr="0006063C" w:rsidSect="00034616">
      <w:pgSz w:w="12240" w:h="15840"/>
      <w:pgMar w:top="1152" w:right="1296" w:bottom="1152"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2F4F"/>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Times New Roman" w:hAnsi="Times New Roman" w:eastAsia="Times New Roman"/>
      <w:b/>
      <w:bCs/>
      <w:color w:val="1F2F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2F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