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sponse-to-reviewers-v6"/>
    <w:p>
      <w:pPr>
        <w:pStyle w:val="Heading1"/>
      </w:pPr>
      <w:r>
        <w:t xml:space="preserve">Response to reviewers (v6)</w:t>
      </w:r>
    </w:p>
    <w:p>
      <w:pPr>
        <w:pStyle w:val="FirstParagraph"/>
      </w:pPr>
      <w:r>
        <w:t xml:space="preserve">We thank the reviewer for the constructive and technically precise assessment. We agree with the overall characterization that the manuscript had improved scientifically but still required a final round of technical correction before submission. In this revision we focused on final manuscript/figure consistency, corrected embedded figure assets in the assembled PDF, typeset the governing expressions and surrogate rules as equations, clarified the uncertainty-design description, and preserved the expanded reference list.</w:t>
      </w:r>
    </w:p>
    <w:bookmarkStart w:id="20" w:name="X53bff18ddc9ac8eed6b0fba8b9bb759e70c6db8"/>
    <w:p>
      <w:pPr>
        <w:pStyle w:val="Heading2"/>
      </w:pPr>
      <w:r>
        <w:t xml:space="preserve">Comment 1. Figure 8 remained a placeholder in the submitted PDF.</w:t>
      </w:r>
    </w:p>
    <w:p>
      <w:pPr>
        <w:pStyle w:val="FirstParagraph"/>
      </w:pPr>
      <w:r>
        <w:rPr>
          <w:b/>
          <w:bCs/>
        </w:rPr>
        <w:t xml:space="preserve">Response:</w:t>
      </w:r>
      <w:r>
        <w:t xml:space="preserve"> </w:t>
      </w:r>
      <w:r>
        <w:t xml:space="preserve">Agreed. Figure 8 is now shown as a populated literature-derived benchmark figure in the assembled manuscript PDF and no longer contains placeholder text. The figure no longer contains template text and the manuscript text, caption, and rebuttal now consistently describe it as a trend-level protocol benchmark rather than strict validation.</w:t>
      </w:r>
    </w:p>
    <w:bookmarkEnd w:id="20"/>
    <w:bookmarkStart w:id="21" w:name="X059516ee217da908235828f760a9aa79b275141"/>
    <w:p>
      <w:pPr>
        <w:pStyle w:val="Heading2"/>
      </w:pPr>
      <w:r>
        <w:t xml:space="preserve">Comment 2. Figure 3 caption did not match the actual figure.</w:t>
      </w:r>
    </w:p>
    <w:p>
      <w:pPr>
        <w:pStyle w:val="FirstParagraph"/>
      </w:pPr>
      <w:r>
        <w:rPr>
          <w:b/>
          <w:bCs/>
        </w:rPr>
        <w:t xml:space="preserve">Response:</w:t>
      </w:r>
      <w:r>
        <w:t xml:space="preserve"> </w:t>
      </w:r>
      <w:r>
        <w:t xml:space="preserve">Agreed. The assembled manuscript now includes the six-panel deterministic summary figure with corrected spacing between the embedded legend region and the caption. The caption and embedded artwork have been checked together in the final PDF.</w:t>
      </w:r>
    </w:p>
    <w:bookmarkEnd w:id="21"/>
    <w:bookmarkStart w:id="22" w:name="Xfbf444053f1a28fd3020a5feb29f046d6b9e506"/>
    <w:p>
      <w:pPr>
        <w:pStyle w:val="Heading2"/>
      </w:pPr>
      <w:r>
        <w:t xml:space="preserve">Comment 3. Supplementary Figure S3 did not match the text description.</w:t>
      </w:r>
    </w:p>
    <w:p>
      <w:pPr>
        <w:pStyle w:val="FirstParagraph"/>
      </w:pPr>
      <w:r>
        <w:rPr>
          <w:b/>
          <w:bCs/>
        </w:rPr>
        <w:t xml:space="preserve">Response:</w:t>
      </w:r>
      <w:r>
        <w:t xml:space="preserve"> </w:t>
      </w:r>
      <w:r>
        <w:t xml:space="preserve">Agreed. Figure S3 now shows the Wilson-score confidence-interval half-width distribution figure in the assembled supplementary section, consistent with both the main text and its caption.</w:t>
      </w:r>
    </w:p>
    <w:bookmarkEnd w:id="22"/>
    <w:bookmarkStart w:id="23" w:name="Xc12b6cd1dc646e9b4c2b216060ade4fca296974"/>
    <w:p>
      <w:pPr>
        <w:pStyle w:val="Heading2"/>
      </w:pPr>
      <w:r>
        <w:t xml:space="preserve">Comment 4. The power-scaling rule and contact surrogate remained insufficiently specified.</w:t>
      </w:r>
    </w:p>
    <w:p>
      <w:pPr>
        <w:pStyle w:val="FirstParagraph"/>
      </w:pPr>
      <w:r>
        <w:rPr>
          <w:b/>
          <w:bCs/>
        </w:rPr>
        <w:t xml:space="preserve">Response:</w:t>
      </w:r>
      <w:r>
        <w:t xml:space="preserve"> </w:t>
      </w:r>
      <w:r>
        <w:t xml:space="preserve">Agreed. Section 2.4 now states the power-scaling and contact-surrogate rules explicitly and displays them as equations in the manuscript. We define the regularized and depth-shifted source, the power scaling coefficient, the contact-gain factor applied to source amplitude, and the clipped cooling-reduction factor applied over the electrode footprint.</w:t>
      </w:r>
    </w:p>
    <w:bookmarkEnd w:id="23"/>
    <w:bookmarkStart w:id="24" w:name="Xdb9364fecd56f0177af5ac794dac645dcc9d4af"/>
    <w:p>
      <w:pPr>
        <w:pStyle w:val="Heading2"/>
      </w:pPr>
      <w:r>
        <w:t xml:space="preserve">Comment 5. The manuscript still contained revision-process language.</w:t>
      </w:r>
    </w:p>
    <w:p>
      <w:pPr>
        <w:pStyle w:val="FirstParagraph"/>
      </w:pPr>
      <w:r>
        <w:rPr>
          <w:b/>
          <w:bCs/>
        </w:rPr>
        <w:t xml:space="preserve">Response:</w:t>
      </w:r>
      <w:r>
        <w:t xml:space="preserve"> </w:t>
      </w:r>
      <w:r>
        <w:t xml:space="preserve">Agreed. All phrases such as</w:t>
      </w:r>
      <w:r>
        <w:t xml:space="preserve"> </w:t>
      </w:r>
      <w:r>
        <w:t xml:space="preserve">“</w:t>
      </w:r>
      <w:r>
        <w:t xml:space="preserve">after the stage16 revision</w:t>
      </w:r>
      <w:r>
        <w:t xml:space="preserve">”</w:t>
      </w:r>
      <w:r>
        <w:t xml:space="preserve">,</w:t>
      </w:r>
      <w:r>
        <w:t xml:space="preserve"> </w:t>
      </w:r>
      <w:r>
        <w:t xml:space="preserve">“</w:t>
      </w:r>
      <w:r>
        <w:t xml:space="preserve">paper-level revised results</w:t>
      </w:r>
      <w:r>
        <w:t xml:space="preserve">”</w:t>
      </w:r>
      <w:r>
        <w:t xml:space="preserve">, and similar process-oriented wording were removed from the scientific manuscript and retained only in internal notes.</w:t>
      </w:r>
    </w:p>
    <w:bookmarkEnd w:id="24"/>
    <w:bookmarkStart w:id="25" w:name="X2e2afc6a84cda6d97b54b5562b6117f4014e674"/>
    <w:p>
      <w:pPr>
        <w:pStyle w:val="Heading2"/>
      </w:pPr>
      <w:r>
        <w:t xml:space="preserve">Comment 6. Figures 5–6 could still be misread as low-sample probability maps.</w:t>
      </w:r>
    </w:p>
    <w:p>
      <w:pPr>
        <w:pStyle w:val="FirstParagraph"/>
      </w:pPr>
      <w:r>
        <w:rPr>
          <w:b/>
          <w:bCs/>
        </w:rPr>
        <w:t xml:space="preserve">Response:</w:t>
      </w:r>
      <w:r>
        <w:t xml:space="preserve"> </w:t>
      </w:r>
      <w:r>
        <w:t xml:space="preserve">We clarified in Methods and captions that each nominal cell is based on 64 stratified samples and that probability uncertainty is summarized with 95% Wilson-score confidence intervals. Supplementary Figure S3 provides an explicit confidence-interval summary to support the stability of the displayed probability maps.</w:t>
      </w:r>
    </w:p>
    <w:bookmarkEnd w:id="25"/>
    <w:bookmarkStart w:id="26" w:name="X953c32ad2bfb69ba5250f89bedee7f95b8d9a22"/>
    <w:p>
      <w:pPr>
        <w:pStyle w:val="Heading2"/>
      </w:pPr>
      <w:r>
        <w:t xml:space="preserve">Comment 7. The reference list remained too small.</w:t>
      </w:r>
    </w:p>
    <w:p>
      <w:pPr>
        <w:pStyle w:val="FirstParagraph"/>
      </w:pPr>
      <w:r>
        <w:rPr>
          <w:b/>
          <w:bCs/>
        </w:rPr>
        <w:t xml:space="preserve">Response:</w:t>
      </w:r>
      <w:r>
        <w:t xml:space="preserve"> </w:t>
      </w:r>
      <w:r>
        <w:t xml:space="preserve">Agreed. The reference list was expanded from a small foundational set to a broader RF-cardiac-ablation modeling bibliography including classical thermal-injury references, irrigated-electrode modeling work, dynamic-contact modeling, HPSD/vHPSD experimental and clinical studies, contact-area work, and uncertainty-quantification background references.</w:t>
      </w:r>
    </w:p>
    <w:p>
      <w:pPr>
        <w:pStyle w:val="BodyText"/>
      </w:pPr>
      <w:r>
        <w:t xml:space="preserve">Overall, we believe that the revised manuscript now addresses the major scientific concerns and the final technical figure-assembly issues raised in the previous review round.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2026-03-13T11:24:13Z</dcterms:created>
  <dcterms:modified xsi:type="dcterms:W3CDTF">2026-03-13T11:24:13Z</dcterms:modified>
</cp:coreProperties>
</file>

<file path=docProps/custom.xml><?xml version="1.0" encoding="utf-8"?>
<Properties xmlns="http://schemas.openxmlformats.org/officeDocument/2006/custom-properties" xmlns:vt="http://schemas.openxmlformats.org/officeDocument/2006/docPropsVTypes"/>
</file>