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 low-complexity comparative framework for perivascular liver radiofrequency ablation: shape-based assessment of safety-margin deficit and protocol trade-offs</w:t>
      </w:r>
      <w:r>
        <w:rPr>
          <w:b/>
        </w:rPr>
      </w:r>
    </w:p>
    <w:p>
      <w:r>
        <w:rPr>
          <w:b/>
        </w:rPr>
        <w:t>Keywords: liver radiofrequency ablation; perivascular tumor; heat-sink; protocol comparison; margin deficit; computational modeling</w:t>
      </w:r>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Methods: We developed a low-complexity 2D electro-thermal-damage framework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a moderate-energy protocol and a high-energy protocol. Numerical credibility was assessed by grid and time-step checks, and model calibration was performed against a no-vessel reference lesion diameter.</w:t>
      </w:r>
      <w:r/>
    </w:p>
    <w:p>
      <w:r>
        <w:t>Results: 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moderate-energy protocol, the high-energy protocol tended to reduce MDI across the tested conditions, but this improvement was accompanied by lower PPV_target and larger overablation outside the target region, indicating a stronger overtreatment trade-off. Representative contour maps showed vessel-side notching and localized undercoverage in near-vessel cases. Grid and time-step checks supported the use of TCR and MDI for exploratory planning comparisons and comparative ranking within the tested discretization range; the present results should therefore be interpreted as proof-of-concept comparative evidence rather than as high-precision predictive estimates.</w:t>
      </w:r>
    </w:p>
    <w:p>
      <w:r>
        <w:t>Conclusions: A reduced-complexity, proof-of-concept comparative framework can capture planning-relevant perivascular RFA failure patterns and provide information complementary to lesion-size summaries within the tested range. The proposed framework offers an interpretable proof-of-concept method for comparing protocol classes, quantifying local margin loss, and characterizing collateral-damage trade-offs in idealized near-vessel liver ablation settings.</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pPr/>
      <w:r>
        <w:t>Recent liver-ablation software and image-based margin-assessment studies have demonstrated the feasibility of patient-specific or real-time simulation workflows and highlighted the importance of quantitative margin confirmation and deformable registration for predicting local outcome. [6-10] However, these approaches are generally aimed at patient-specific guidance or image-based confirmation rather than a lightweight comparative framework for protocol sensitivity analysis. The present work is therefore positioned as an incremental but useful methodological simplification for shape-aware comparison of protocol–geometry interactions in idealized perivascular RFA.</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planning-oriented comparative framework for perivascular liver RFA using a parameterized geometry containing tumor, electrode, and a single nearby vessel. Rather than pursuing full patient-specific realism, we focused on a computationally light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pPr/>
      <w:r>
        <w:t>Relative to prior perivascular liver-ablation modeling studies, the present work is positioned as an incremental but useful methodological simplification. Existing literature includes higher-fidelity and patient-specific workflows for treatment simulation, protocol optimization, and image-based ablative-margin assessment, whereas the current framework deliberately prioritizes low computational cost, explicit shape-based endpoints, and reproducible protocol comparison in an idealized single-vessel geometry. Accordingly, the contribution of this study lies less in biophysical completeness than in providing an interpretable reduced-order proxy for comparative planning analysis under constrained hardware. The present framework is therefore not proposed as a device-specific predictive simulator, but as a planning-oriented comparative proxy that deliberately trades physical completeness for transparency, speed, and reproducibility.</w:t>
      </w:r>
    </w:p>
    <w:p>
      <w:r>
        <w:t>The objectives of this work were threefold. First, we aimed to characterize how tumor-vessel gap and vessel diameter shape local underablation patterns in perivascular RFA. Second, we sought to compare a moderate-energy protocol and a high-energy protocol in terms of margin recovery and target specificity, while explicitly treating the moderate-energy setting as a deliberately conservative comparator rather than as a margin-satisfying no-vessel baseline. Third, we aimed to establish a numerically credible and reproducible workflow, including calibration, convergence analysis, and shape-based figure generation, that can serve as a planning-oriented comparative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t>div( sigma(x) grad(phi) )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t>q_unit(x) = sigma(x) * |grad(phi(x))|^2</w:t>
      </w:r>
    </w:p>
    <w:p>
      <w:r>
        <w:t>The reduced-order radiofrequency heating term was defined as</w:t>
      </w:r>
    </w:p>
    <w:p>
      <w:pPr>
        <w:jc w:val="center"/>
      </w:pPr>
      <w: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t>rho * c * dT/dt = div( k * grad(T) ) + Q_RF - Q_perf</w:t>
      </w:r>
    </w:p>
    <w:p>
      <w:r>
        <w:t>with</w:t>
      </w:r>
    </w:p>
    <w:p>
      <w:pPr>
        <w:jc w:val="center"/>
      </w:pPr>
      <w:r>
        <w:t>Q_perf = omega_eff *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t>Omega(x,t) = integral_0^t A * exp( -Ea / (R * T_K(x,tau)) ) dtau</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t>TCR = |A intersect T| / |T|</w:t>
      </w:r>
    </w:p>
    <w:p>
      <w:r>
        <w:t>Target specificity (PPV_target) was defined as</w:t>
      </w:r>
    </w:p>
    <w:p>
      <w:pPr>
        <w:jc w:val="center"/>
      </w:pPr>
      <w:r>
        <w:t>PPV_target = |A intersect G| / |A|</w:t>
      </w:r>
    </w:p>
    <w:p>
      <w:pPr/>
      <w:r>
        <w:t>To complement PPV_target, we also evaluated two absolute target-region descriptors in the supplementary analysis. Absolute overablation outside the target region was defined as |A \ G| = |A| - |A intersect G|, and target-region coverage was defined as |A intersect G| / |G|. These quantities were used to interpret collateral-damage trade-offs in a way that is more directly linked to absolute target miss and absolute excess treatment than PPV_target alone.</w:t>
      </w:r>
    </w:p>
    <w:p>
      <w:r>
        <w:t>Margin deficit index (MDI) was defined from the local achieved margin m(x), computed from the Euclidean distance to the lesion boundary for tumor-boundary points x ∈ ∂T. MDI was then evaluated as</w:t>
      </w:r>
    </w:p>
    <w:p>
      <w:pPr>
        <w:jc w:val="center"/>
      </w:pPr>
      <w:r>
        <w:t>MDI = (1 / |dT|) * sum_{x in dT} 1[m(x) &lt; m0],  where m0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(N_bins = 360). Because VUA depends more strongly on discretization and angular binning, it was treated as a supplementary rather than a primary endpoint.</w:t>
      </w:r>
    </w:p>
    <w:p>
      <w:r>
        <w:t>Equivalent lesion diameter was computed from lesion area A_lesion as</w:t>
      </w:r>
    </w:p>
    <w:p>
      <w:pPr>
        <w:jc w:val="center"/>
      </w:pPr>
      <w:r>
        <w:t>D_eq = sqrt(4 * A_lesion / pi)</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7.30 (rounded; see Fig. S4A)</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moderate-energy protocol (60 W for 10 min) and a high-energy protocol (70 W for 10 min). The moderate-energy protocol was intentionally retained as a conservative comparator and did not fully satisfy the 5-mm no-vessel target-margin criterion. Consequently, comparisons between protocol classes should be interpreted as comparisons between a deliberately conservative protocol and a stronger energy-delivery setting, rather than as comparisons against a fully margin-satisfying baseline. Importantly, the moderate-energy protocol did not satisfy the no-vessel 5-mm target margin and should not be interpreted as a margin-satisfying baseline. Instead, it was intentionally retained as a subtherapeutic conservative comparator to expose how perivascular cooling interacts with protocol strength.</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pPr/>
      <w:r>
        <w:t>Runtime profiling on an Apple M4 MacBook Air showed that a representative single-case simulation on the final 161 x 161 grid required approximately 2.4 s, whereas the final 18-case protocol sweep required approximately 13.3 s. Peak memory footprints were approximately 190 MB and 282 MB, respectively.</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moderate-energy protocol was intentionally retained as a conservative comparator, whereas the high-energy protocol represented a stronger energy-delivery setting. Importantly, the moderate-energy protocol did not fully satisfy the desired 5-mm target margin in the no-vessel baseline (MDI = 0.167), so subsequent comparisons should be interpreted as comparisons between protocol strengths rather than as a pure heat-sink compensation analysis at equal no-vessel margin adequacy. Accordingly, downstream protocol comparisons should be interpreted as comparisons between a deliberately conservative protocol and a higher-energy protocol, rather than as a pure heat-sink compensation analysis around a fully margin-satisfying baseline.</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Within the tested discretization range, the high-energy protocol tended to reduce MDI relative to the moderate-energy protocol, consistent with the established understanding that perivascular heat-sink effects weaken with increasing separation from major vessels. [1,3]</w:t>
      </w:r>
    </w:p>
    <w:p>
      <w:pPr>
        <w:pStyle w:val="Heading2"/>
      </w:pPr>
      <w:r>
        <w:t>3.4 Planning trade-off</w:t>
      </w:r>
    </w:p>
    <w:p>
      <w:r>
        <w:t>For the representative 5-mm vessel, the high-energy protocol tended to reduce margin deficit relative to the moderate-energy protocol but also showed lower PPV_target, indicating a stronger overtreatment trade-off. Because the moderate-energy protocol was intentionally retained as a conservative comparator and did not fully satisfy the no-vessel 5-mm target-margin condition, these differences should not be interpreted as a pure measure of heat-sink compensation alone. To complement this proportional specificity metric, we also quantified absolute overablation area outside the target region and target-region coverage |A ∩ G| / |G| (Fig. S7). Across gaps, the high-energy protocol increased target-region coverage but also produced larger absolute collateral damage outside the intended target region.</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influence on the primary endpoints, whereas grid refinement produced modest but non-negligible variation in MDI for the severe-vessel case. Accordingly, MDI is interpreted here as a comparative ranking and trend descriptor rather than as a high-precision absolute quantity. In this context, MDI is best interpreted as a comparative ranking and trend descriptor rather than as a high-precision absolute estimate of clinical margin failure.</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r>
              <w:t>0.961</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Table 5. Time-step sensitivity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moderate-energy and high-energy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moderate-energy and high-energy protocols. Panel (C) reports the MDI reduction achieved by the high-energy protocol relative to the moderate-energy protocol. Smaller gap consistently increased margin deficit, whereas larger vessel diameter further worsened deficit mainly in abutting or very short-gap cases.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Protocol-strength trade-off between margin deficit and target specificity. For a representative 5-mm vessel, increasing tumor-vessel gap reduces MDI under both protocols. The high-energy protocol tends to achieve lower MDI than the moderate-energy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the moderate-energy and high-energy protocols highlights why a comparative framework should not optimize coverage alone. In this study, the high-energy protocol tended to reduce MDI relative to the moderate-energy protocol, but this gain occurred together with lower PPV_target and larger absolute overablation outside the target region, indicating a stronger overtreatment trade-off. Because the moderate-energy protocol was deliberately retained as a conservative comparator rather than as a fully margin-satisfying no-vessel baseline, the observed protocol differences reflect both perivascular heat-sink sensitivity and baseline protocol strength. Accordingly, the present results should be interpreted as comparative protocol evidence within the tested range, not as a universal statement that protocol escalation alone resolves near-vessel margin failure. Importantly, the moderate-energy protocol was not intended to represent a no-vessel margin-satisfying reference; rather, it was retained as a deliberately conservative comparator. The resulting protocol comparison should therefore be read as an analysis of how protocol strength interacts with perivascular cooling, not as a strict before-versus-after heat-sink compensation experiment around a fully adequate baseline.</w:t>
      </w:r>
    </w:p>
    <w:p>
      <w:r>
        <w:t>A strength of the present work is that it deliberately targets the middle ground between oversimplified toy models and highly detailed patient-specific simulators. Prior liver-ablation workflows have demonstrated the feasibility of high-performance patient-specific simulation, prospective in silico planning, and deformable-registration-based margin confirmation. [6-10] The value of the current model is not that it captures every physiological detail, but that it provides an interpretable and computationally light platform for comparing protocols, visualizing lesion asymmetry, and quantifying margin loss in a reproducible way. This framing is best understood as an incremental but useful methodological simplification rather than as a replacement for higher-fidelity predictive systems.</w:t>
      </w:r>
    </w:p>
    <w:p>
      <w:r>
        <w:t>The numerical analysis also informs how the results should be interpreted. Within the tested discretization range, TCR and MDI were stable enough to support exploratory planning comparisons and ranking of protocol-related effects. However, because grid-induced variation in MDI was not negligible relative to some protocol-level differences, MDI should not be interpreted here as a high-precision absolute quantity. By contrast, VUA was more grid-sensitive and was consequently retained as a supplementary descriptor rather than as a principal inferential quantity. This endpoint stratification is preferable to presenting all metrics as equally reliable. The credibility chain of the present framework remains limited to single-point no-vessel calibration, an internal normalized benchmark, and literature-consistent comparative trends; it should therefore not be interpreted as external validation. The present credibility chain remains limited to single-point no-vessel calibration, an internal normalized benchmark, and literature-consistent comparative trends.</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limited to no-vessel calibration plus literature-consistent internal trend analysis. Fourth, the present framework uses a normalized electrical heating template, fixed-temperature vessel cooling, and fixed-temperature outer boundaries, and therefore should be interpreted as a reduced-order comparative proxy rather than as a high-fidelity device-specific simulator. In particular, the fixed 37 °C vessel representation may approximate an upper-bound local cooling effect in some settings. Finally, only two representative protocol classes were examined in the final comparative study, so the present results should be interpreted within the tested protocol range rather than as a complete protocol-landscape characterization. In particular, fixed-temperature vessel and outer-boundary treatments, the use of a normalized heating template, and the absence of impedance roll-off or charring physics mean that the model is better viewed as a reduced-order comparative proxy than as a high-fidelity device-specific simulator.</w:t>
      </w:r>
    </w:p>
    <w:p>
      <w:r>
        <w:t>These limitations also point to logical future directions, including extension to minimal 3D geometries, replacement of circular tumor geometry by a small library of image-derived tumor contours, incorporation of external image- or experiment-based benchmarks, and expansion of the protocol space toward denser response-surface or Pareto-style analyses.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 and absolute collateral damage outside the intended target region.</w:t>
      </w:r>
    </w:p>
    <w:p>
      <w:pPr>
        <w:pStyle w:val="Heading1"/>
      </w:pPr>
      <w:r>
        <w:t>5. Conclusion</w:t>
      </w:r>
    </w:p>
    <w:p>
      <w:r>
        <w:t>A low-complexity 2D electro-thermal-damage comparative framework was developed to study perivascular liver RFA using shape-based endpoints. Across the tested settings, tumor-vessel gap was the primary determinant of margin deficit, while vessel diameter acted mainly as a secondary modifier. A higher-energy protocol tended to reduce margin deficit relative to a deliberately conservative moderate-energy comparator, but did so at the cost of lower target specificity and greater absolute collateral damage. These results support the use of the framework as a proof-of-concept, planning-oriented comparative tool for examining perivascular trade-offs within the tested range, rather than as a predictive patient-specific simulator.</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archived and can be provided to the editor and reviewers upon request. To preserve reviewer blinding during peer review, direct public repository identifiers are omitted from the manuscript text.</w:t>
      </w:r>
    </w:p>
    <w:p>
      <w:r>
        <w:t>Repository link withheld for blinded review; archived materials available to the editor and reviewers upon request.</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pPr>
        <w:pStyle w:val="ListNumber"/>
      </w:pPr>
      <w:r>
        <w:t>[7] Voglreiter P, Mariappan P, Pollari M, et al. RFA Guardian: Comprehensive Simulation of Radiofrequency Ablation Treatment of Liver Tumors. Sci Rep. 2018;8(1):787. doi:10.1038/s41598-017-18899-2.</w:t>
      </w:r>
    </w:p>
    <w:p>
      <w:pPr>
        <w:pStyle w:val="ListNumber"/>
      </w:pPr>
      <w:r>
        <w:t>[8] Moche M, Busse H, Fütterer JJ, et al. Clinical evaluation of in silico planning and real-time simulation of hepatic radiofrequency ablation (ClinicIMPPACT Trial). Eur Radiol. 2020;30(2):934-942. doi:10.1007/s00330-019-06411-5.</w:t>
      </w:r>
    </w:p>
    <w:p>
      <w:pPr>
        <w:pStyle w:val="ListNumber"/>
      </w:pPr>
      <w:r>
        <w:t>[9] Rai P, Ansari MY, Warfa M, et al. Efficacy of fusion imaging for immediate post-ablation assessment of malignant liver neoplasms: A systematic review. Cancer Med. 2023;12(13):14225-14251. doi:10.1002/cam4.6089.</w:t>
      </w:r>
    </w:p>
    <w:p>
      <w:pPr>
        <w:pStyle w:val="ListNumber"/>
      </w:pPr>
      <w:r>
        <w:t>[10] Lin YM, Paolucci I, Albuquerque Marques Silva J, et al. Ablative margin quantification using deformable versus rigid image registration in colorectal liver metastasis thermal ablation: a retrospective single-center study. Eur Radiol. 2024;34(9):5541-5550. doi:10.1007/s00330-024-10632-8.</w:t>
      </w:r>
    </w:p>
    <w:p>
      <w:pPr>
        <w:pStyle w:val="ListNumber"/>
      </w:pPr>
      <w:r>
        <w:t>[11] Chlorogiannis DD, Sotirchos VS, Georgiades C, et al. The Importance of Optimal Thermal Ablation Margins in Colorectal Liver Metastases: A Systematic Review and Meta-Analysis of 21 Studies. Cancers (Basel). 2023;15(24):5806. doi:10.3390/cancers15245806.</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the moderate-energy and high-energy protocols. Under the high-energy protocol, tumor coverage is complete for most tested conditions, whereas under the moderate-energy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the moderate-energy and high-energy protocols. Larger VUA indicates broader vessel-facing underablation. VUA decreases as gap increases and is consistently lower under the high-energy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protocol classes. The moderate-energy protocol was retained as a deliberately conservative comparator, whereas the high-energy protocol was chosen to further reduce margin deficit at the cost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Figure S6. Lesion-size summary versus shape-based margin deficit. (A) Scatter plot of perivascular cases showing equivalent lesion diameter versus MDI. (B) Matched-size examples demonstrating that cases with similar lesion-size summaries may still exhibit noticeably different local margin deficit patterns, supporting the use of shape-based descriptors as complementary information rather than as a replacement for lesion-size summaries.</w:t>
      </w:r>
      <w:r/>
    </w:p>
    <w:p>
      <w:pPr>
        <w:jc w:val="center"/>
      </w:pPr>
      <w:r>
        <w:drawing>
          <wp:inline xmlns:a="http://schemas.openxmlformats.org/drawingml/2006/main" xmlns:pic="http://schemas.openxmlformats.org/drawingml/2006/picture">
            <wp:extent cx="5669280" cy="2416059"/>
            <wp:docPr id="11" name="Picture 11"/>
            <wp:cNvGraphicFramePr>
              <a:graphicFrameLocks noChangeAspect="1"/>
            </wp:cNvGraphicFramePr>
            <a:graphic>
              <a:graphicData uri="http://schemas.openxmlformats.org/drawingml/2006/picture">
                <pic:pic>
                  <pic:nvPicPr>
                    <pic:cNvPr id="0" name="FigS7_tradeoff_absolute_damage.png"/>
                    <pic:cNvPicPr/>
                  </pic:nvPicPr>
                  <pic:blipFill>
                    <a:blip r:embed="rId19"/>
                    <a:stretch>
                      <a:fillRect/>
                    </a:stretch>
                  </pic:blipFill>
                  <pic:spPr>
                    <a:xfrm>
                      <a:off x="0" y="0"/>
                      <a:ext cx="5669280" cy="2416059"/>
                    </a:xfrm>
                    <a:prstGeom prst="rect"/>
                  </pic:spPr>
                </pic:pic>
              </a:graphicData>
            </a:graphic>
          </wp:inline>
        </w:drawing>
      </w:r>
    </w:p>
    <w:p>
      <w:pPr/>
      <w:r>
        <w:t>Figure S7. Absolute collateral damage and target-region coverage for a representative 5-mm vessel. (A) Absolute overablation area outside the 5-mm target region, expressed in mm². (B) Target-region coverage, defined as |A ∩ G| / |G|. Relative to the moderate-energy protocol, the high-energy protocol increased target-region coverage across the tested gaps but also produced a larger absolute overablation area outside the target region, providing a more direct interpretation of the planning trade-off than PPV_target alone.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