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Editor-in-Chief</w:t>
      </w:r>
    </w:p>
    <w:p>
      <w:r>
        <w:t>Computer Methods and Programs in Biomedicine</w:t>
      </w:r>
    </w:p>
    <w:p>
      <w:r>
        <w:t>Elsevier</w:t>
      </w:r>
    </w:p>
    <w:p/>
    <w:p>
      <w:r>
        <w:t>Re: Minor revision resubmission of manuscript entitled "A low-complexity planning model for perivascular liver radiofrequency ablation: shape-based assessment of safety-margin deficit and protocol trade-offs"</w:t>
      </w:r>
    </w:p>
    <w:p/>
    <w:p>
      <w:r>
        <w:t>Dear Editor,</w:t>
      </w:r>
    </w:p>
    <w:p/>
    <w:p>
      <w:r>
        <w:t>Please find attached our revised manuscript and point-by-point response to the reviewer for the above-mentioned submission. We appreciate the reviewer’s careful second-round assessment and are encouraged that the recommendation has been improved to "minor revision".</w:t>
      </w:r>
    </w:p>
    <w:p/>
    <w:p>
      <w:r>
        <w:t>In this revision, we focused specifically on the remaining issues raised by the reviewer. First, we rechecked the frozen source table and corrected the representative 5-mm-vessel summary so that Table 3 is now fully consistent with Figure S2. Second, we further softened the interpretation of margin deficit index (MDI) by clarifying throughout the Abstract, Results, and Discussion that MDI is used here as an exploratory planning metric for comparative ranking and trend analysis within the tested discretization range, rather than as a high-precision absolute quantity. Third, we rewrote the response document in a more explicitly point-by-point and auditable format. Fourth, to preserve reviewer blinding, we removed the direct public repository link from the manuscript and now state that archived code and frozen simulation materials can be provided to the editor and reviewers upon request.</w:t>
      </w:r>
    </w:p>
    <w:p/>
    <w:p>
      <w:r>
        <w:t>The revised manuscript therefore maintains the original planning-oriented, reduced-complexity framing of the study while improving consistency, auditability, and reviewer-blind compliance. We believe the manuscript is now substantially stronger and more suitable for consideration in Computer Methods and Programs in Biomedicine.</w:t>
      </w:r>
    </w:p>
    <w:p/>
    <w:p>
      <w:r>
        <w:t>This manuscript has not been published previously and is not under consideration elsewhere. All authors have approved the revised submission. No competing interests are declared in the manuscript.</w:t>
      </w:r>
    </w:p>
    <w:p/>
    <w:p>
      <w:r>
        <w:t>Thank you for your time and consideration. We hope that the revised version will now be suitable for acceptance after this minor revision.</w:t>
      </w:r>
    </w:p>
    <w:p/>
    <w:p>
      <w:r>
        <w:t>Sincerely,</w:t>
      </w:r>
    </w:p>
    <w:p/>
    <w:p>
      <w:r>
        <w:t>[Corresponding Author Name]</w:t>
      </w:r>
    </w:p>
    <w:p>
      <w:r>
        <w:t>[Affiliation]</w:t>
      </w:r>
    </w:p>
    <w:p>
      <w: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