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Comments (Major Revision)</w:t>
      </w:r>
    </w:p>
    <w:p>
      <w:r>
        <w:t>Manuscript: A low-complexity comparative framework for perivascular liver radiofrequency ablation: shape-based assessment of safety-margin deficit and protocol trade-offs</w:t>
      </w:r>
    </w:p>
    <w:p>
      <w:r>
        <w:t>We sincerely thank the reviewer for the careful and constructive evaluation. The new comments were highly valuable in sharpening both the methodological positioning and the transparency of the manuscript. In response, we have revised the manuscript to further reduce overly strong claims, added measured runtime information, expanded the literature positioning, clarified the role of the moderate-energy protocol as a deliberately conservative comparator, and introduced an additional supplementary figure (Fig. S7) reporting absolute overablation outside the target region and target-region coverage.</w:t>
      </w:r>
    </w:p>
    <w:p>
      <w:r>
        <w:rPr>
          <w:b/>
        </w:rPr>
        <w:t>Comment 1. Validation remains limited.</w:t>
      </w:r>
    </w:p>
    <w:p>
      <w:r>
        <w:t>Response: We agree that the present model does not provide external experimental or clinical validation. Accordingly, we further down-positioned the manuscript as a proof-of-concept methodological study and avoided predictive or clinically deployable wording. We also expanded the related-work discussion to place the present reduced-order framework in the context of higher-fidelity patient-specific simulation and image-based margin-confirmation literature.</w:t>
      </w:r>
    </w:p>
    <w:p>
      <w:r>
        <w:t>Changes made in manuscript: Abstract, Introduction, Methods (Sections 2.6-2.8), Discussion, Conclusion, and Code/Data Availability statements revised; title updated from “planning model” to “comparative framework”.</w:t>
      </w:r>
    </w:p>
    <w:p>
      <w:r>
        <w:rPr>
          <w:b/>
        </w:rPr>
        <w:t>Comment 2. The balanced protocol is confounded because it does not satisfy the no-vessel 5-mm margin target.</w:t>
      </w:r>
    </w:p>
    <w:p>
      <w:r>
        <w:t>Response: We agree and now state this explicitly. The former “balanced” protocol is renamed the moderate-energy protocol and is described as a deliberately conservative comparator rather than a margin-satisfying baseline. The text now clarifies that comparisons between the moderate-energy and high-energy protocols should be interpreted as relative protocol-strength comparisons under perivascular cooling, not as a pure heat-sink compensation experiment at equal no-vessel margin adequacy.</w:t>
      </w:r>
    </w:p>
    <w:p>
      <w:r>
        <w:t>Changes made in manuscript: Methods Section 2.6; Results Section 3.1; Discussion updated; terminology changed throughout manuscript and table captions.</w:t>
      </w:r>
    </w:p>
    <w:p>
      <w:r>
        <w:rPr>
          <w:b/>
        </w:rPr>
        <w:t>Comment 3. The protocol effect size is close to discretization-induced variation.</w:t>
      </w:r>
    </w:p>
    <w:p>
      <w:r>
        <w:t>Response: We agree that this limits the strength of the inference. We therefore further softened the interpretation of MDI. The revised text now states that MDI is most appropriate here as a comparative ranking and trend descriptor for exploratory planning comparisons within the tested discretization range, rather than as a high-precision absolute quantity.</w:t>
      </w:r>
    </w:p>
    <w:p>
      <w:r>
        <w:t>Changes made in manuscript: Abstract (Results sentence), Results Section 3.5, and Discussion revised.</w:t>
      </w:r>
    </w:p>
    <w:p>
      <w:r>
        <w:rPr>
          <w:b/>
        </w:rPr>
        <w:t>Comment 4. The model is a strongly simplified reduced-order proxy and its scope should be made explicit.</w:t>
      </w:r>
    </w:p>
    <w:p>
      <w:r>
        <w:t>Response: We agree. The revised manuscript now consistently describes the framework as a reduced-order comparative model rather than a predictive patient-specific simulator. We retained the explanation of the effective source-scaling coefficient and the fixed-temperature cooling/boundary simplifications, and we further emphasized in the Discussion that these assumptions support comparative trend analysis rather than full biophysical fidelity.</w:t>
      </w:r>
    </w:p>
    <w:p>
      <w:r>
        <w:t>Changes made in manuscript: Title, Abstract, Methods (Sections 2.2-2.8), Discussion, and Conclusion revised.</w:t>
      </w:r>
    </w:p>
    <w:p>
      <w:r>
        <w:rPr>
          <w:b/>
        </w:rPr>
        <w:t>Comment 5. The term “planning model” is too broad.</w:t>
      </w:r>
    </w:p>
    <w:p>
      <w:r>
        <w:t>Response: We agree. To avoid overstating the scope, we replaced “planning model” wording with “planning-oriented comparative framework” or “planning-oriented comparative analysis” throughout the manuscript.</w:t>
      </w:r>
    </w:p>
    <w:p>
      <w:r>
        <w:t>Changes made in manuscript: Title, Introduction, Results, Discussion, and Conclusion revised.</w:t>
      </w:r>
    </w:p>
    <w:p>
      <w:r>
        <w:rPr>
          <w:b/>
        </w:rPr>
        <w:t>Comment 6. The literature positioning and innovation framing were too limited.</w:t>
      </w:r>
    </w:p>
    <w:p>
      <w:r>
        <w:t>Response: We agree. The literature context has been expanded to include prior work on patient-specific simulation workflows, prospective in silico planning, fusion-imaging based immediate ablation assessment, deformable image-registration based margin quantification, and margin-focused systematic reviews. The manuscript now explicitly frames the contribution as an incremental but useful methodological simplification focused on shape-aware comparative analysis in idealized perivascular geometries.</w:t>
      </w:r>
    </w:p>
    <w:p>
      <w:r>
        <w:t>Changes made in manuscript: Introduction and Discussion revised; reference list expanded.</w:t>
      </w:r>
    </w:p>
    <w:p>
      <w:r>
        <w:rPr>
          <w:b/>
        </w:rPr>
        <w:t>Comment 7. The trade-off analysis needs a more direct measure of collateral damage.</w:t>
      </w:r>
    </w:p>
    <w:p>
      <w:r>
        <w:t>Response: We agree. To complement PPV_target, we added a new supplementary figure (Fig. S7) reporting (A) absolute overablation area outside the target region and (B) target-region coverage |A∩G|/|G| for a representative 5-mm vessel. The Results and Discussion now use these quantities to provide a more direct interpretation of the protocol trade-off.</w:t>
      </w:r>
    </w:p>
    <w:p>
      <w:r>
        <w:t>Changes made in manuscript: New Fig. S7 added; Results Section 3.4 and Discussion revised.</w:t>
      </w:r>
    </w:p>
    <w:p>
      <w:r>
        <w:rPr>
          <w:b/>
        </w:rPr>
        <w:t>Comment 8. The protocol space is sparse and conclusions should be restricted to the tested range.</w:t>
      </w:r>
    </w:p>
    <w:p>
      <w:r>
        <w:t>Response: We agree and have made this limitation explicit. The manuscript now repeatedly states that the protocol-dependent conclusions hold within the tested protocol and discretization range and should not be interpreted as a global optimization statement.</w:t>
      </w:r>
    </w:p>
    <w:p>
      <w:r>
        <w:t>Changes made in manuscript: Methods Section 2.6; Results Section 3.3; Discussion revised.</w:t>
      </w:r>
    </w:p>
    <w:p>
      <w:r>
        <w:rPr>
          <w:b/>
        </w:rPr>
        <w:t>Comment 9. The claim of computational lightness requires measured runtime.</w:t>
      </w:r>
    </w:p>
    <w:p>
      <w:r>
        <w:t>Response: We agree. We measured runtime on an Apple M4 MacBook Air. On the final 161 × 161 grid, a representative single-case run required approximately 2.4 s, while the final 18-case protocol sweep required approximately 13.3 s. Peak memory footprints were approximately 190 MB and 282 MB, respectively. These values are now reported in the Methods section.</w:t>
      </w:r>
    </w:p>
    <w:p>
      <w:r>
        <w:t>Changes made in manuscript: Methods Section 2.8 added with wall-clock time and memory information.</w:t>
      </w:r>
    </w:p>
    <w:p>
      <w:r>
        <w:t>We hope that these revisions address the reviewer’s concerns and clarify both the intended scope and the practical contribution of the work.</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