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drawing>
          <wp:inline distT="0" distB="0" distL="0" distR="0">
            <wp:extent cx="1428750" cy="1409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rFonts w:ascii="Georgia" w:cs="Georgia" w:eastAsia="Georgia" w:hAnsi="Georgia"/>
          <w:b/>
          <w:bCs/>
          <w:color w:val="1E2A56"/>
          <w:spacing w:val="40"/>
          <w:sz w:val="30"/>
          <w:szCs w:val="30"/>
        </w:rPr>
        <w:t xml:space="preserve">COMMANDERIE DE BORDEAUX</w:t>
      </w:r>
    </w:p>
    <w:p>
      <w:pPr>
        <w:spacing w:after="40"/>
        <w:jc w:val="center"/>
      </w:pPr>
      <w:r>
        <w:rPr>
          <w:rFonts w:ascii="Georgia" w:cs="Georgia" w:eastAsia="Georgia" w:hAnsi="Georgia"/>
          <w:i/>
          <w:iCs/>
          <w:color w:val="B08A3A"/>
          <w:sz w:val="22"/>
          <w:szCs w:val="22"/>
        </w:rPr>
        <w:t xml:space="preserve">no Brasil</w:t>
      </w:r>
    </w:p>
    <w:p>
      <w:pPr>
        <w:spacing w:after="60"/>
        <w:jc w:val="center"/>
      </w:pPr>
      <w:r>
        <w:rPr>
          <w:rFonts w:ascii="Arial" w:cs="Arial" w:eastAsia="Arial" w:hAnsi="Arial"/>
          <w:color w:val="B08A3A"/>
          <w:spacing w:val="40"/>
          <w:sz w:val="16"/>
          <w:szCs w:val="16"/>
        </w:rPr>
        <w:t xml:space="preserve">São Paulo · Recife · Curitiba · Porto Alegre</w:t>
      </w:r>
    </w:p>
    <w:p>
      <w:pPr>
        <w:pBdr>
          <w:bottom w:val="single" w:color="B08A3A" w:sz="12" w:space="1"/>
        </w:pBdr>
        <w:spacing w:after="160" w:before="120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aps/>
          <w:color w:val="B08A3A"/>
          <w:spacing w:val="60"/>
          <w:sz w:val="18"/>
          <w:szCs w:val="18"/>
        </w:rPr>
        <w:t xml:space="preserve">Release para a Imprensa — Recife</w:t>
      </w:r>
    </w:p>
    <w:p>
      <w:pPr>
        <w:spacing w:after="220"/>
        <w:jc w:val="center"/>
      </w:pPr>
      <w:r>
        <w:rPr>
          <w:rFonts w:ascii="Arial" w:cs="Arial" w:eastAsia="Arial" w:hAnsi="Arial"/>
          <w:b/>
          <w:bCs/>
          <w:color w:val="8F1D24"/>
          <w:spacing w:val="40"/>
          <w:sz w:val="16"/>
          <w:szCs w:val="16"/>
        </w:rPr>
        <w:t xml:space="preserve">PARA DIVULGAÇÃO IMEDIATA</w:t>
      </w:r>
    </w:p>
    <w:p>
      <w:pPr>
        <w:spacing w:after="140"/>
        <w:jc w:val="center"/>
      </w:pPr>
      <w:r>
        <w:rPr>
          <w:rFonts w:ascii="Georgia" w:cs="Georgia" w:eastAsia="Georgia" w:hAnsi="Georgia"/>
          <w:b/>
          <w:bCs/>
          <w:color w:val="1E2A56"/>
          <w:sz w:val="36"/>
          <w:szCs w:val="36"/>
        </w:rPr>
        <w:t xml:space="preserve">Commanderie de Bordeaux entroniza nove novos comendadores em Recife</w:t>
      </w:r>
    </w:p>
    <w:p>
      <w:pPr>
        <w:spacing w:after="60"/>
        <w:jc w:val="center"/>
      </w:pPr>
      <w:r>
        <w:rPr>
          <w:rFonts w:ascii="Georgia" w:cs="Georgia" w:eastAsia="Georgia" w:hAnsi="Georgia"/>
          <w:i/>
          <w:iCs/>
          <w:color w:val="8F1D24"/>
          <w:sz w:val="22"/>
          <w:szCs w:val="22"/>
        </w:rPr>
        <w:t xml:space="preserve">Cerimônia realizada nesta semana eleva para 22 o número de comendadores da sede pernambucana, a primeira do Nordeste na confraria francesa criada em 1952</w:t>
      </w:r>
    </w:p>
    <w:p>
      <w:pPr>
        <w:pBdr>
          <w:bottom w:val="single" w:color="B08A3A" w:sz="12" w:space="1"/>
        </w:pBdr>
        <w:spacing w:after="220" w:before="160"/>
      </w:pPr>
    </w:p>
    <w:p>
      <w:pPr>
        <w:spacing w:after="160" w:line="276"/>
        <w:jc w:val="both"/>
      </w:pPr>
      <w:r>
        <w:rPr>
          <w:rFonts w:ascii="Georgia" w:cs="Georgia" w:eastAsia="Georgia" w:hAnsi="Georgia"/>
          <w:color w:val="2B2B2B"/>
          <w:sz w:val="22"/>
          <w:szCs w:val="22"/>
        </w:rPr>
        <w:t xml:space="preserve">A </w:t>
      </w:r>
      <w:r>
        <w:rPr>
          <w:rFonts w:ascii="Georgia" w:cs="Georgia" w:eastAsia="Georgia" w:hAnsi="Georgia"/>
          <w:b/>
          <w:bCs/>
          <w:color w:val="2B2B2B"/>
          <w:sz w:val="22"/>
          <w:szCs w:val="22"/>
        </w:rPr>
        <w:t xml:space="preserve">Commanderie de Bordeaux</w:t>
      </w:r>
      <w:r>
        <w:rPr>
          <w:rFonts w:ascii="Georgia" w:cs="Georgia" w:eastAsia="Georgia" w:hAnsi="Georgia"/>
          <w:color w:val="2B2B2B"/>
          <w:sz w:val="22"/>
          <w:szCs w:val="22"/>
        </w:rPr>
        <w:t xml:space="preserve"> realizou em Recife, nesta semana, mais um Capítulo — a cerimônia solene em que novos integrantes são entronizados comendadores. Foram investidos </w:t>
      </w:r>
      <w:r>
        <w:rPr>
          <w:rFonts w:ascii="Georgia" w:cs="Georgia" w:eastAsia="Georgia" w:hAnsi="Georgia"/>
          <w:b/>
          <w:bCs/>
          <w:color w:val="2B2B2B"/>
          <w:sz w:val="22"/>
          <w:szCs w:val="22"/>
        </w:rPr>
        <w:t xml:space="preserve">nove novos comendadores</w:t>
      </w:r>
      <w:r>
        <w:rPr>
          <w:rFonts w:ascii="Georgia" w:cs="Georgia" w:eastAsia="Georgia" w:hAnsi="Georgia"/>
          <w:color w:val="2B2B2B"/>
          <w:sz w:val="22"/>
          <w:szCs w:val="22"/>
        </w:rPr>
        <w:t xml:space="preserve">, número que eleva para </w:t>
      </w:r>
      <w:r>
        <w:rPr>
          <w:rFonts w:ascii="Georgia" w:cs="Georgia" w:eastAsia="Georgia" w:hAnsi="Georgia"/>
          <w:b/>
          <w:bCs/>
          <w:color w:val="2B2B2B"/>
          <w:sz w:val="22"/>
          <w:szCs w:val="22"/>
        </w:rPr>
        <w:t xml:space="preserve">22</w:t>
      </w:r>
      <w:r>
        <w:rPr>
          <w:rFonts w:ascii="Georgia" w:cs="Georgia" w:eastAsia="Georgia" w:hAnsi="Georgia"/>
          <w:color w:val="2B2B2B"/>
          <w:sz w:val="22"/>
          <w:szCs w:val="22"/>
        </w:rPr>
        <w:t xml:space="preserve"> o total da sede pernambucana, a primeira do Nordeste brasileiro.</w:t>
      </w:r>
    </w:p>
    <w:p>
      <w:pPr>
        <w:spacing w:after="160" w:line="276"/>
        <w:jc w:val="both"/>
      </w:pPr>
      <w:r>
        <w:rPr>
          <w:rFonts w:ascii="Georgia" w:cs="Georgia" w:eastAsia="Georgia" w:hAnsi="Georgia"/>
          <w:color w:val="2B2B2B"/>
          <w:sz w:val="22"/>
          <w:szCs w:val="22"/>
        </w:rPr>
        <w:t xml:space="preserve">Entraram para a confraria </w:t>
      </w:r>
      <w:r>
        <w:rPr>
          <w:rFonts w:ascii="Georgia" w:cs="Georgia" w:eastAsia="Georgia" w:hAnsi="Georgia"/>
          <w:b/>
          <w:bCs/>
          <w:color w:val="2B2B2B"/>
          <w:sz w:val="22"/>
          <w:szCs w:val="22"/>
        </w:rPr>
        <w:t xml:space="preserve">Helio Silvestre, Guilherme Chaves, Jorge Petribu, Rafael Petribu, Tulio Guimarães, Jorge Pinho, Hermilo Borba, Murilo Guimarães e Alexandre Dias Perez</w:t>
      </w:r>
      <w:r>
        <w:rPr>
          <w:rFonts w:ascii="Georgia" w:cs="Georgia" w:eastAsia="Georgia" w:hAnsi="Georgia"/>
          <w:color w:val="2B2B2B"/>
          <w:sz w:val="22"/>
          <w:szCs w:val="22"/>
        </w:rPr>
        <w:t xml:space="preserve">.</w:t>
      </w:r>
    </w:p>
    <w:p>
      <w:pPr>
        <w:spacing w:after="160" w:line="276"/>
        <w:jc w:val="both"/>
      </w:pPr>
      <w:r>
        <w:rPr>
          <w:rFonts w:ascii="Georgia" w:cs="Georgia" w:eastAsia="Georgia" w:hAnsi="Georgia"/>
          <w:i/>
          <w:iCs/>
          <w:color w:val="2B2B2B"/>
          <w:sz w:val="22"/>
          <w:szCs w:val="22"/>
        </w:rPr>
        <w:t xml:space="preserve">“Chegamos a 22 comendadores em pouco mais de um ano de sede. Isso diz muito sobre a maturidade do público pernambucano em relação aos grandes vinhos de Bordeaux”</w:t>
      </w:r>
      <w:r>
        <w:rPr>
          <w:rFonts w:ascii="Georgia" w:cs="Georgia" w:eastAsia="Georgia" w:hAnsi="Georgia"/>
          <w:color w:val="2B2B2B"/>
          <w:sz w:val="22"/>
          <w:szCs w:val="22"/>
        </w:rPr>
        <w:t xml:space="preserve">, afirma </w:t>
      </w:r>
      <w:r>
        <w:rPr>
          <w:rFonts w:ascii="Georgia" w:cs="Georgia" w:eastAsia="Georgia" w:hAnsi="Georgia"/>
          <w:b/>
          <w:bCs/>
          <w:color w:val="2B2B2B"/>
          <w:sz w:val="22"/>
          <w:szCs w:val="22"/>
        </w:rPr>
        <w:t xml:space="preserve">Tito Dias</w:t>
      </w:r>
      <w:r>
        <w:rPr>
          <w:rFonts w:ascii="Georgia" w:cs="Georgia" w:eastAsia="Georgia" w:hAnsi="Georgia"/>
          <w:color w:val="2B2B2B"/>
          <w:sz w:val="22"/>
          <w:szCs w:val="22"/>
        </w:rPr>
        <w:t xml:space="preserve">, Maître de Recife.</w:t>
      </w:r>
    </w:p>
    <w:p>
      <w:pPr>
        <w:spacing w:after="160" w:line="276"/>
        <w:jc w:val="both"/>
      </w:pPr>
      <w:r>
        <w:rPr>
          <w:rFonts w:ascii="Georgia" w:cs="Georgia" w:eastAsia="Georgia" w:hAnsi="Georgia"/>
          <w:color w:val="2B2B2B"/>
          <w:sz w:val="22"/>
          <w:szCs w:val="22"/>
        </w:rPr>
        <w:t xml:space="preserve">A sede de Recife integra a rede internacional da Commanderie de Bordeaux, criada em 1952 sob o patrocínio do </w:t>
      </w:r>
      <w:r>
        <w:rPr>
          <w:rFonts w:ascii="Georgia" w:cs="Georgia" w:eastAsia="Georgia" w:hAnsi="Georgia"/>
          <w:b/>
          <w:bCs/>
          <w:color w:val="2B2B2B"/>
          <w:sz w:val="22"/>
          <w:szCs w:val="22"/>
        </w:rPr>
        <w:t xml:space="preserve">Grand Conseil des Vins de Bordeaux (GCVB)</w:t>
      </w:r>
      <w:r>
        <w:rPr>
          <w:rFonts w:ascii="Georgia" w:cs="Georgia" w:eastAsia="Georgia" w:hAnsi="Georgia"/>
          <w:color w:val="2B2B2B"/>
          <w:sz w:val="22"/>
          <w:szCs w:val="22"/>
        </w:rPr>
        <w:t xml:space="preserve"> e hoje presente em </w:t>
      </w:r>
      <w:r>
        <w:rPr>
          <w:rFonts w:ascii="Georgia" w:cs="Georgia" w:eastAsia="Georgia" w:hAnsi="Georgia"/>
          <w:b/>
          <w:bCs/>
          <w:color w:val="2B2B2B"/>
          <w:sz w:val="22"/>
          <w:szCs w:val="22"/>
        </w:rPr>
        <w:t xml:space="preserve">31 países, com 109 sedes e mais de 4.300 comendadores</w:t>
      </w:r>
      <w:r>
        <w:rPr>
          <w:rFonts w:ascii="Georgia" w:cs="Georgia" w:eastAsia="Georgia" w:hAnsi="Georgia"/>
          <w:color w:val="2B2B2B"/>
          <w:sz w:val="22"/>
          <w:szCs w:val="22"/>
        </w:rPr>
        <w:t xml:space="preserve"> no mundo.</w:t>
      </w:r>
    </w:p>
    <w:p>
      <w:pPr>
        <w:pBdr>
          <w:bottom w:val="single" w:color="DDD0AD" w:sz="6" w:space="4"/>
        </w:pBdr>
        <w:spacing w:after="140" w:before="320"/>
      </w:pPr>
      <w:r>
        <w:rPr>
          <w:rFonts w:ascii="Georgia" w:cs="Georgia" w:eastAsia="Georgia" w:hAnsi="Georgia"/>
          <w:b/>
          <w:bCs/>
          <w:color w:val="1E2A56"/>
          <w:sz w:val="26"/>
          <w:szCs w:val="26"/>
        </w:rPr>
        <w:t xml:space="preserve">Recife na rota de Bordeaux</w:t>
      </w:r>
    </w:p>
    <w:p>
      <w:pPr>
        <w:spacing w:after="160" w:line="276"/>
        <w:jc w:val="both"/>
      </w:pPr>
      <w:r>
        <w:rPr>
          <w:rFonts w:ascii="Georgia" w:cs="Georgia" w:eastAsia="Georgia" w:hAnsi="Georgia"/>
          <w:color w:val="2B2B2B"/>
          <w:sz w:val="22"/>
          <w:szCs w:val="22"/>
        </w:rPr>
        <w:t xml:space="preserve">A instalação da sede pernambucana, em 2026, faz parte de uma expansão acelerada da confraria no Brasil: em menos de seis meses, a Commanderie saiu de uma única sede, fundada em São Paulo em novembro de 2025, para quatro — São Paulo, Recife, Curitiba e Porto Alegre.</w:t>
      </w:r>
    </w:p>
    <w:p>
      <w:pPr>
        <w:spacing w:after="160" w:line="276"/>
        <w:jc w:val="both"/>
      </w:pPr>
      <w:r>
        <w:rPr>
          <w:rFonts w:ascii="Georgia" w:cs="Georgia" w:eastAsia="Georgia" w:hAnsi="Georgia"/>
          <w:color w:val="2B2B2B"/>
          <w:sz w:val="22"/>
          <w:szCs w:val="22"/>
        </w:rPr>
        <w:t xml:space="preserve">O movimento foi conduzido pelo Grão-Mestre </w:t>
      </w:r>
      <w:r>
        <w:rPr>
          <w:rFonts w:ascii="Georgia" w:cs="Georgia" w:eastAsia="Georgia" w:hAnsi="Georgia"/>
          <w:b/>
          <w:bCs/>
          <w:color w:val="2B2B2B"/>
          <w:sz w:val="22"/>
          <w:szCs w:val="22"/>
        </w:rPr>
        <w:t xml:space="preserve">Manu Brandão</w:t>
      </w:r>
      <w:r>
        <w:rPr>
          <w:rFonts w:ascii="Georgia" w:cs="Georgia" w:eastAsia="Georgia" w:hAnsi="Georgia"/>
          <w:color w:val="2B2B2B"/>
          <w:sz w:val="22"/>
          <w:szCs w:val="22"/>
        </w:rPr>
        <w:t xml:space="preserve"> e pelo Maître de São Paulo, </w:t>
      </w:r>
      <w:r>
        <w:rPr>
          <w:rFonts w:ascii="Georgia" w:cs="Georgia" w:eastAsia="Georgia" w:hAnsi="Georgia"/>
          <w:b/>
          <w:bCs/>
          <w:color w:val="2B2B2B"/>
          <w:sz w:val="22"/>
          <w:szCs w:val="22"/>
        </w:rPr>
        <w:t xml:space="preserve">Luli Dias</w:t>
      </w:r>
      <w:r>
        <w:rPr>
          <w:rFonts w:ascii="Georgia" w:cs="Georgia" w:eastAsia="Georgia" w:hAnsi="Georgia"/>
          <w:color w:val="2B2B2B"/>
          <w:sz w:val="22"/>
          <w:szCs w:val="22"/>
        </w:rPr>
        <w:t xml:space="preserve">, Vice-Presidente fundador da Commanderie no Brasil e um dos principais articuladores da entrada da confraria no país. Nome conhecido do mercado premium de vinhos e sócio da </w:t>
      </w:r>
      <w:r>
        <w:rPr>
          <w:rFonts w:ascii="Georgia" w:cs="Georgia" w:eastAsia="Georgia" w:hAnsi="Georgia"/>
          <w:b/>
          <w:bCs/>
          <w:color w:val="2B2B2B"/>
          <w:sz w:val="22"/>
          <w:szCs w:val="22"/>
        </w:rPr>
        <w:t xml:space="preserve">Épice</w:t>
      </w:r>
      <w:r>
        <w:rPr>
          <w:rFonts w:ascii="Georgia" w:cs="Georgia" w:eastAsia="Georgia" w:hAnsi="Georgia"/>
          <w:color w:val="2B2B2B"/>
          <w:sz w:val="22"/>
          <w:szCs w:val="22"/>
        </w:rPr>
        <w:t xml:space="preserve">, Luli Dias esteve à frente da estruturação das sedes regionais e da articulação com produtores franceses, importadores, sommeliers e chefs — trabalho que abriu caminho para que Recife tivesse sede própria.</w:t>
      </w:r>
    </w:p>
    <w:p>
      <w:pPr>
        <w:spacing w:after="160" w:line="276"/>
        <w:jc w:val="both"/>
      </w:pPr>
      <w:r>
        <w:rPr>
          <w:rFonts w:ascii="Georgia" w:cs="Georgia" w:eastAsia="Georgia" w:hAnsi="Georgia"/>
          <w:i/>
          <w:iCs/>
          <w:color w:val="2B2B2B"/>
          <w:sz w:val="22"/>
          <w:szCs w:val="22"/>
        </w:rPr>
        <w:t xml:space="preserve">“Recife tem uma cena gastronômica e um público de vinho que justificavam uma sede própria há muito tempo. Não foi expansão por número — foi reconhecimento de uma cidade que sabe receber Bordeaux”</w:t>
      </w:r>
      <w:r>
        <w:rPr>
          <w:rFonts w:ascii="Georgia" w:cs="Georgia" w:eastAsia="Georgia" w:hAnsi="Georgia"/>
          <w:color w:val="2B2B2B"/>
          <w:sz w:val="22"/>
          <w:szCs w:val="22"/>
        </w:rPr>
        <w:t xml:space="preserve">, diz Luli Dias.</w:t>
      </w:r>
    </w:p>
    <w:p>
      <w:pPr>
        <w:spacing w:after="160" w:line="276"/>
        <w:jc w:val="both"/>
      </w:pPr>
      <w:r>
        <w:rPr>
          <w:rFonts w:ascii="Georgia" w:cs="Georgia" w:eastAsia="Georgia" w:hAnsi="Georgia"/>
          <w:color w:val="2B2B2B"/>
          <w:sz w:val="22"/>
          <w:szCs w:val="22"/>
        </w:rPr>
        <w:t xml:space="preserve">O Capítulo que marcou a chegada da Commanderie a Pernambuco foi realizado em </w:t>
      </w:r>
      <w:r>
        <w:rPr>
          <w:rFonts w:ascii="Georgia" w:cs="Georgia" w:eastAsia="Georgia" w:hAnsi="Georgia"/>
          <w:b/>
          <w:bCs/>
          <w:color w:val="2B2B2B"/>
          <w:sz w:val="22"/>
          <w:szCs w:val="22"/>
        </w:rPr>
        <w:t xml:space="preserve">4 de março de 2026</w:t>
      </w:r>
      <w:r>
        <w:rPr>
          <w:rFonts w:ascii="Georgia" w:cs="Georgia" w:eastAsia="Georgia" w:hAnsi="Georgia"/>
          <w:color w:val="2B2B2B"/>
          <w:sz w:val="22"/>
          <w:szCs w:val="22"/>
        </w:rPr>
        <w:t xml:space="preserve">, no </w:t>
      </w:r>
      <w:r>
        <w:rPr>
          <w:rFonts w:ascii="Georgia" w:cs="Georgia" w:eastAsia="Georgia" w:hAnsi="Georgia"/>
          <w:b/>
          <w:bCs/>
          <w:color w:val="2B2B2B"/>
          <w:sz w:val="22"/>
          <w:szCs w:val="22"/>
        </w:rPr>
        <w:t xml:space="preserve">Restaurante Licínio 1926</w:t>
      </w:r>
      <w:r>
        <w:rPr>
          <w:rFonts w:ascii="Georgia" w:cs="Georgia" w:eastAsia="Georgia" w:hAnsi="Georgia"/>
          <w:color w:val="2B2B2B"/>
          <w:sz w:val="22"/>
          <w:szCs w:val="22"/>
        </w:rPr>
        <w:t xml:space="preserve">, conduzido pelo Grão-Mestre Manu Brandão e pelos Maîtres Luli Dias (São Paulo) e Tito Dias (Recife). Entre os entronizados naquela noite estavam </w:t>
      </w:r>
      <w:r>
        <w:rPr>
          <w:rFonts w:ascii="Georgia" w:cs="Georgia" w:eastAsia="Georgia" w:hAnsi="Georgia"/>
          <w:b/>
          <w:bCs/>
          <w:color w:val="2B2B2B"/>
          <w:sz w:val="22"/>
          <w:szCs w:val="22"/>
        </w:rPr>
        <w:t xml:space="preserve">Alberto Porpino, Zé Roberto Dantas, Fred Guimarães, Lucas Viana, Luciano Filizola Friedheim, Cristiano Finardi, Marcelo Guerra, Augusto Acioli, Fernando Gurgel e Bruno Brayner</w:t>
      </w:r>
      <w:r>
        <w:rPr>
          <w:rFonts w:ascii="Georgia" w:cs="Georgia" w:eastAsia="Georgia" w:hAnsi="Georgia"/>
          <w:color w:val="2B2B2B"/>
          <w:sz w:val="22"/>
          <w:szCs w:val="22"/>
        </w:rPr>
        <w:t xml:space="preserve">. O empresário </w:t>
      </w:r>
      <w:r>
        <w:rPr>
          <w:rFonts w:ascii="Georgia" w:cs="Georgia" w:eastAsia="Georgia" w:hAnsi="Georgia"/>
          <w:b/>
          <w:bCs/>
          <w:color w:val="2B2B2B"/>
          <w:sz w:val="22"/>
          <w:szCs w:val="22"/>
        </w:rPr>
        <w:t xml:space="preserve">André Farias</w:t>
      </w:r>
      <w:r>
        <w:rPr>
          <w:rFonts w:ascii="Georgia" w:cs="Georgia" w:eastAsia="Georgia" w:hAnsi="Georgia"/>
          <w:color w:val="2B2B2B"/>
          <w:sz w:val="22"/>
          <w:szCs w:val="22"/>
        </w:rPr>
        <w:t xml:space="preserve"> já havia sido entronizado Comendador de Honra na cerimônia de fundação brasileira, e </w:t>
      </w:r>
      <w:r>
        <w:rPr>
          <w:rFonts w:ascii="Georgia" w:cs="Georgia" w:eastAsia="Georgia" w:hAnsi="Georgia"/>
          <w:b/>
          <w:bCs/>
          <w:color w:val="2B2B2B"/>
          <w:sz w:val="22"/>
          <w:szCs w:val="22"/>
        </w:rPr>
        <w:t xml:space="preserve">Leonardo Buarque</w:t>
      </w:r>
      <w:r>
        <w:rPr>
          <w:rFonts w:ascii="Georgia" w:cs="Georgia" w:eastAsia="Georgia" w:hAnsi="Georgia"/>
          <w:color w:val="2B2B2B"/>
          <w:sz w:val="22"/>
          <w:szCs w:val="22"/>
        </w:rPr>
        <w:t xml:space="preserve"> integrou a turma investida no Château Bellefont-Belcier, em Bordeaux.</w:t>
      </w:r>
    </w:p>
    <w:p>
      <w:pPr>
        <w:spacing w:after="160" w:line="276"/>
        <w:jc w:val="both"/>
      </w:pPr>
      <w:r>
        <w:rPr>
          <w:rFonts w:ascii="Georgia" w:cs="Georgia" w:eastAsia="Georgia" w:hAnsi="Georgia"/>
          <w:i/>
          <w:iCs/>
          <w:color w:val="2B2B2B"/>
          <w:sz w:val="22"/>
          <w:szCs w:val="22"/>
        </w:rPr>
        <w:t xml:space="preserve">A carta servida no Licínio 1926 reuniu rótulos de primeira linha: Champagne Roederer, Ch. La Serre 2012, Ch. Plince 2015, Espérance de Trotanoy 2014, Ch. Tour Saint-Christophe 2020, Ch. Latour à Pomerol 2011, Ch. Rauzan-Ségla 2019, Ch. Léoville Poyferré 2015, Ch. Talbot, Ch. Prieuré-Lichine, Ch. d’Armailhac, Ch. Beychevelle, Ch. Montrose, Ch. Clos Fourtet, Ch. Hosanna, Ch. Pontet-Canet, Ch. La Fleur-Pétrus, Ch. Pichon Longueville Baron, Ch. Pichon Longueville Comtesse, Ch. Margaux e Ch. L’Évangile.</w:t>
      </w:r>
    </w:p>
    <w:p>
      <w:pPr>
        <w:pBdr>
          <w:bottom w:val="single" w:color="DDD0AD" w:sz="6" w:space="4"/>
        </w:pBdr>
        <w:spacing w:after="140" w:before="320"/>
      </w:pPr>
      <w:r>
        <w:rPr>
          <w:rFonts w:ascii="Georgia" w:cs="Georgia" w:eastAsia="Georgia" w:hAnsi="Georgia"/>
          <w:b/>
          <w:bCs/>
          <w:color w:val="1E2A56"/>
          <w:sz w:val="26"/>
          <w:szCs w:val="26"/>
        </w:rPr>
        <w:t xml:space="preserve">Como a Commanderie chegou ao Brasil</w:t>
      </w:r>
    </w:p>
    <w:p>
      <w:pPr>
        <w:spacing w:after="160" w:line="276"/>
        <w:jc w:val="both"/>
      </w:pPr>
      <w:r>
        <w:rPr>
          <w:rFonts w:ascii="Georgia" w:cs="Georgia" w:eastAsia="Georgia" w:hAnsi="Georgia"/>
          <w:color w:val="2B2B2B"/>
          <w:sz w:val="22"/>
          <w:szCs w:val="22"/>
        </w:rPr>
        <w:t xml:space="preserve">A confraria foi instalada no país em </w:t>
      </w:r>
      <w:r>
        <w:rPr>
          <w:rFonts w:ascii="Georgia" w:cs="Georgia" w:eastAsia="Georgia" w:hAnsi="Georgia"/>
          <w:b/>
          <w:bCs/>
          <w:color w:val="2B2B2B"/>
          <w:sz w:val="22"/>
          <w:szCs w:val="22"/>
        </w:rPr>
        <w:t xml:space="preserve">13 de novembro de 2025</w:t>
      </w:r>
      <w:r>
        <w:rPr>
          <w:rFonts w:ascii="Georgia" w:cs="Georgia" w:eastAsia="Georgia" w:hAnsi="Georgia"/>
          <w:color w:val="2B2B2B"/>
          <w:sz w:val="22"/>
          <w:szCs w:val="22"/>
        </w:rPr>
        <w:t xml:space="preserve">, na residência da Cônsul-Geral da França em São Paulo, Alexandra Mias, em ano marcado pelos 200 anos de relações diplomáticas entre Brasil e França. O Capítulo de fundação reuniu </w:t>
      </w:r>
      <w:r>
        <w:rPr>
          <w:rFonts w:ascii="Georgia" w:cs="Georgia" w:eastAsia="Georgia" w:hAnsi="Georgia"/>
          <w:b/>
          <w:bCs/>
          <w:color w:val="2B2B2B"/>
          <w:sz w:val="22"/>
          <w:szCs w:val="22"/>
        </w:rPr>
        <w:t xml:space="preserve">17 produtores franceses</w:t>
      </w:r>
      <w:r>
        <w:rPr>
          <w:rFonts w:ascii="Georgia" w:cs="Georgia" w:eastAsia="Georgia" w:hAnsi="Georgia"/>
          <w:color w:val="2B2B2B"/>
          <w:sz w:val="22"/>
          <w:szCs w:val="22"/>
        </w:rPr>
        <w:t xml:space="preserve"> — entre eles Château Pavie, Cos d’Estournel, Brane-Cantenac, Bellefont-Belcier, Prieuré-Lichine, Gloria e Saint-Pierre — e o Grand Maître do GCVB, Jean-Marc Dulong. Foram 27 entronizados, entre Embaixadores de Honra, Membros Fundadores e Membros.</w:t>
      </w:r>
    </w:p>
    <w:p>
      <w:pPr>
        <w:spacing w:after="160" w:line="276"/>
        <w:jc w:val="both"/>
      </w:pPr>
      <w:r>
        <w:rPr>
          <w:rFonts w:ascii="Georgia" w:cs="Georgia" w:eastAsia="Georgia" w:hAnsi="Georgia"/>
          <w:color w:val="2B2B2B"/>
          <w:sz w:val="22"/>
          <w:szCs w:val="22"/>
        </w:rPr>
        <w:t xml:space="preserve">Seguiram-se Capítulos em São Paulo (Le Chef Rouge, dezembro de 2025), Recife (Licínio 1926, março de 2026) e na </w:t>
      </w:r>
      <w:r>
        <w:rPr>
          <w:rFonts w:ascii="Georgia" w:cs="Georgia" w:eastAsia="Georgia" w:hAnsi="Georgia"/>
          <w:b/>
          <w:bCs/>
          <w:color w:val="2B2B2B"/>
          <w:sz w:val="22"/>
          <w:szCs w:val="22"/>
        </w:rPr>
        <w:t xml:space="preserve">Embaixada da França em Brasília</w:t>
      </w:r>
      <w:r>
        <w:rPr>
          <w:rFonts w:ascii="Georgia" w:cs="Georgia" w:eastAsia="Georgia" w:hAnsi="Georgia"/>
          <w:color w:val="2B2B2B"/>
          <w:sz w:val="22"/>
          <w:szCs w:val="22"/>
        </w:rPr>
        <w:t xml:space="preserve"> (março de 2026), quando o Embaixador </w:t>
      </w:r>
      <w:r>
        <w:rPr>
          <w:rFonts w:ascii="Georgia" w:cs="Georgia" w:eastAsia="Georgia" w:hAnsi="Georgia"/>
          <w:b/>
          <w:bCs/>
          <w:color w:val="2B2B2B"/>
          <w:sz w:val="22"/>
          <w:szCs w:val="22"/>
        </w:rPr>
        <w:t xml:space="preserve">Emmanuel Lenain</w:t>
      </w:r>
      <w:r>
        <w:rPr>
          <w:rFonts w:ascii="Georgia" w:cs="Georgia" w:eastAsia="Georgia" w:hAnsi="Georgia"/>
          <w:color w:val="2B2B2B"/>
          <w:sz w:val="22"/>
          <w:szCs w:val="22"/>
        </w:rPr>
        <w:t xml:space="preserve"> foi entronizado Embaixador de Honra. Em </w:t>
      </w:r>
      <w:r>
        <w:rPr>
          <w:rFonts w:ascii="Georgia" w:cs="Georgia" w:eastAsia="Georgia" w:hAnsi="Georgia"/>
          <w:b/>
          <w:bCs/>
          <w:color w:val="2B2B2B"/>
          <w:sz w:val="22"/>
          <w:szCs w:val="22"/>
        </w:rPr>
        <w:t xml:space="preserve">19 de abril de 2026</w:t>
      </w:r>
      <w:r>
        <w:rPr>
          <w:rFonts w:ascii="Georgia" w:cs="Georgia" w:eastAsia="Georgia" w:hAnsi="Georgia"/>
          <w:color w:val="2B2B2B"/>
          <w:sz w:val="22"/>
          <w:szCs w:val="22"/>
        </w:rPr>
        <w:t xml:space="preserve">, no </w:t>
      </w:r>
      <w:r>
        <w:rPr>
          <w:rFonts w:ascii="Georgia" w:cs="Georgia" w:eastAsia="Georgia" w:hAnsi="Georgia"/>
          <w:b/>
          <w:bCs/>
          <w:color w:val="2B2B2B"/>
          <w:sz w:val="22"/>
          <w:szCs w:val="22"/>
        </w:rPr>
        <w:t xml:space="preserve">Château Bellefont-Belcier</w:t>
      </w:r>
      <w:r>
        <w:rPr>
          <w:rFonts w:ascii="Georgia" w:cs="Georgia" w:eastAsia="Georgia" w:hAnsi="Georgia"/>
          <w:color w:val="2B2B2B"/>
          <w:sz w:val="22"/>
          <w:szCs w:val="22"/>
        </w:rPr>
        <w:t xml:space="preserve">, em Bordeaux, Manu Brandão foi confirmado Grão-Mestre e os Maîtres das quatro sedes brasileiras foram investidos: Luli Dias (São Paulo), Tito Dias (Recife), Abner Almeida (Curitiba) e Jadir Engers (Porto Alegre).</w:t>
      </w:r>
    </w:p>
    <w:p>
      <w:pPr>
        <w:pBdr>
          <w:bottom w:val="single" w:color="DDD0AD" w:sz="6" w:space="4"/>
        </w:pBdr>
        <w:spacing w:after="140" w:before="320"/>
      </w:pPr>
      <w:r>
        <w:rPr>
          <w:rFonts w:ascii="Georgia" w:cs="Georgia" w:eastAsia="Georgia" w:hAnsi="Georgia"/>
          <w:b/>
          <w:bCs/>
          <w:color w:val="1E2A56"/>
          <w:sz w:val="26"/>
          <w:szCs w:val="26"/>
        </w:rPr>
        <w:t xml:space="preserve">O que a Commanderie faz</w:t>
      </w:r>
    </w:p>
    <w:p>
      <w:pPr>
        <w:spacing w:after="160" w:line="276"/>
        <w:jc w:val="both"/>
      </w:pPr>
      <w:r>
        <w:rPr>
          <w:rFonts w:ascii="Georgia" w:cs="Georgia" w:eastAsia="Georgia" w:hAnsi="Georgia"/>
          <w:color w:val="2B2B2B"/>
          <w:sz w:val="22"/>
          <w:szCs w:val="22"/>
        </w:rPr>
        <w:t xml:space="preserve">A missão da confraria é promover os vinhos de Bordeaux, seus terroirs, denominações, viticultores e comerciantes — um patrimônio de 65 Denominações de Origem, 7.500 viticultores AOP e cerca de 60 mil empregos diretos e indiretos. No Brasil, a atuação se organiza em quatro frentes:</w:t>
      </w:r>
    </w:p>
    <w:p>
      <w:pPr>
        <w:pStyle w:val="ListParagraph"/>
        <w:numPr>
          <w:ilvl w:val="0"/>
          <w:numId w:val="2"/>
        </w:numPr>
        <w:spacing w:after="120" w:line="268"/>
      </w:pPr>
      <w:r>
        <w:rPr>
          <w:rFonts w:ascii="Georgia" w:cs="Georgia" w:eastAsia="Georgia" w:hAnsi="Georgia"/>
          <w:b/>
          <w:bCs/>
          <w:color w:val="8F1D24"/>
          <w:sz w:val="22"/>
          <w:szCs w:val="22"/>
        </w:rPr>
        <w:t xml:space="preserve">Educação</w:t>
      </w:r>
      <w:r>
        <w:rPr>
          <w:rFonts w:ascii="Georgia" w:cs="Georgia" w:eastAsia="Georgia" w:hAnsi="Georgia"/>
          <w:color w:val="2B2B2B"/>
          <w:sz w:val="22"/>
          <w:szCs w:val="22"/>
        </w:rPr>
        <w:t xml:space="preserve"> — cursos técnicos, masterclasses com produtores e formação do consumidor final.</w:t>
      </w:r>
    </w:p>
    <w:p>
      <w:pPr>
        <w:pStyle w:val="ListParagraph"/>
        <w:numPr>
          <w:ilvl w:val="0"/>
          <w:numId w:val="2"/>
        </w:numPr>
        <w:spacing w:after="120" w:line="268"/>
      </w:pPr>
      <w:r>
        <w:rPr>
          <w:rFonts w:ascii="Georgia" w:cs="Georgia" w:eastAsia="Georgia" w:hAnsi="Georgia"/>
          <w:b/>
          <w:bCs/>
          <w:color w:val="8F1D24"/>
          <w:sz w:val="22"/>
          <w:szCs w:val="22"/>
        </w:rPr>
        <w:t xml:space="preserve">Missões</w:t>
      </w:r>
      <w:r>
        <w:rPr>
          <w:rFonts w:ascii="Georgia" w:cs="Georgia" w:eastAsia="Georgia" w:hAnsi="Georgia"/>
          <w:color w:val="2B2B2B"/>
          <w:sz w:val="22"/>
          <w:szCs w:val="22"/>
        </w:rPr>
        <w:t xml:space="preserve"> — viagens profissionais a Bordeaux, visitas a châteaux e participação no Mondiale do GCVB.</w:t>
      </w:r>
    </w:p>
    <w:p>
      <w:pPr>
        <w:pStyle w:val="ListParagraph"/>
        <w:numPr>
          <w:ilvl w:val="0"/>
          <w:numId w:val="2"/>
        </w:numPr>
        <w:spacing w:after="120" w:line="268"/>
      </w:pPr>
      <w:r>
        <w:rPr>
          <w:rFonts w:ascii="Georgia" w:cs="Georgia" w:eastAsia="Georgia" w:hAnsi="Georgia"/>
          <w:b/>
          <w:bCs/>
          <w:color w:val="8F1D24"/>
          <w:sz w:val="22"/>
          <w:szCs w:val="22"/>
        </w:rPr>
        <w:t xml:space="preserve">Capítulos e eventos</w:t>
      </w:r>
      <w:r>
        <w:rPr>
          <w:rFonts w:ascii="Georgia" w:cs="Georgia" w:eastAsia="Georgia" w:hAnsi="Georgia"/>
          <w:color w:val="2B2B2B"/>
          <w:sz w:val="22"/>
          <w:szCs w:val="22"/>
        </w:rPr>
        <w:t xml:space="preserve"> — cerimônias de entronização, jantares de harmonização (Parlements) e eventos culturais franco-brasileiros.</w:t>
      </w:r>
    </w:p>
    <w:p>
      <w:pPr>
        <w:pStyle w:val="ListParagraph"/>
        <w:numPr>
          <w:ilvl w:val="0"/>
          <w:numId w:val="2"/>
        </w:numPr>
        <w:spacing w:after="120" w:line="268"/>
      </w:pPr>
      <w:r>
        <w:rPr>
          <w:rFonts w:ascii="Georgia" w:cs="Georgia" w:eastAsia="Georgia" w:hAnsi="Georgia"/>
          <w:b/>
          <w:bCs/>
          <w:color w:val="8F1D24"/>
          <w:sz w:val="22"/>
          <w:szCs w:val="22"/>
        </w:rPr>
        <w:t xml:space="preserve">Mercado</w:t>
      </w:r>
      <w:r>
        <w:rPr>
          <w:rFonts w:ascii="Georgia" w:cs="Georgia" w:eastAsia="Georgia" w:hAnsi="Georgia"/>
          <w:color w:val="2B2B2B"/>
          <w:sz w:val="22"/>
          <w:szCs w:val="22"/>
        </w:rPr>
        <w:t xml:space="preserve"> — articulação com importadores, distribuidores, sommeliers, chefs e varejo especializado.</w:t>
      </w:r>
    </w:p>
    <w:p>
      <w:pPr>
        <w:spacing w:after="240" w:line="276"/>
        <w:jc w:val="both"/>
      </w:pPr>
      <w:r>
        <w:rPr>
          <w:rFonts w:ascii="Georgia" w:cs="Georgia" w:eastAsia="Georgia" w:hAnsi="Georgia"/>
          <w:color w:val="2B2B2B"/>
          <w:sz w:val="22"/>
          <w:szCs w:val="22"/>
        </w:rPr>
        <w:t xml:space="preserve">Para 2026, o GCVB projeta 111 sedes em 33 países.</w:t>
      </w:r>
    </w:p>
    <w:p>
      <w:pPr>
        <w:pBdr>
          <w:bottom w:val="single" w:color="B08A3A" w:sz="12" w:space="1"/>
        </w:pBdr>
        <w:spacing w:after="200" w:before="200"/>
      </w:pPr>
    </w:p>
    <w:p>
      <w:pPr>
        <w:spacing w:after="40"/>
        <w:jc w:val="center"/>
      </w:pPr>
      <w:r>
        <w:rPr>
          <w:rFonts w:ascii="Georgia" w:cs="Georgia" w:eastAsia="Georgia" w:hAnsi="Georgia"/>
          <w:b/>
          <w:bCs/>
          <w:i/>
          <w:iCs/>
          <w:color w:val="8F1D24"/>
          <w:sz w:val="24"/>
          <w:szCs w:val="24"/>
        </w:rPr>
        <w:t xml:space="preserve">« In vino veritas »</w:t>
      </w:r>
    </w:p>
    <w:p>
      <w:pPr>
        <w:spacing w:after="20"/>
        <w:jc w:val="center"/>
      </w:pPr>
      <w:r>
        <w:rPr>
          <w:rFonts w:ascii="Georgia" w:cs="Georgia" w:eastAsia="Georgia" w:hAnsi="Georgia"/>
          <w:b/>
          <w:bCs/>
          <w:color w:val="1E2A56"/>
          <w:sz w:val="22"/>
          <w:szCs w:val="22"/>
        </w:rPr>
        <w:t xml:space="preserve">Commanderie de Bordeaux no Brasil</w:t>
      </w:r>
    </w:p>
    <w:p>
      <w:pPr>
        <w:spacing w:after="200"/>
        <w:jc w:val="center"/>
      </w:pPr>
      <w:r>
        <w:rPr>
          <w:rFonts w:ascii="Arial" w:cs="Arial" w:eastAsia="Arial" w:hAnsi="Arial"/>
          <w:color w:val="B08A3A"/>
          <w:spacing w:val="30"/>
          <w:sz w:val="16"/>
          <w:szCs w:val="16"/>
        </w:rPr>
        <w:t xml:space="preserve">São Paulo · Recife · Curitiba · Porto Alegre</w:t>
      </w:r>
    </w:p>
    <w:p>
      <w:pPr>
        <w:pBdr>
          <w:top w:val="single" w:color="DDD0AD" w:sz="6" w:space="8"/>
        </w:pBdr>
        <w:spacing w:after="40"/>
        <w:jc w:val="center"/>
      </w:pPr>
      <w:r>
        <w:rPr>
          <w:rFonts w:ascii="Arial" w:cs="Arial" w:eastAsia="Arial" w:hAnsi="Arial"/>
          <w:i/>
          <w:iCs/>
          <w:color w:val="2B2B2B"/>
          <w:sz w:val="15"/>
          <w:szCs w:val="15"/>
        </w:rPr>
        <w:t xml:space="preserve">Sobre o Grand Conseil du Vin de Bordeaux: conselho privado presidido por um Grand Maître eleito para mandato de três anos, com 12 membros. Sede: 1 cours du 30 Juillet, 33000 Bordeaux, França.</w:t>
      </w:r>
    </w:p>
    <w:p>
      <w:pPr>
        <w:jc w:val="center"/>
      </w:pPr>
      <w:r>
        <w:rPr>
          <w:rFonts w:ascii="Arial" w:cs="Arial" w:eastAsia="Arial" w:hAnsi="Arial"/>
          <w:color w:val="B08A3A"/>
          <w:sz w:val="15"/>
          <w:szCs w:val="15"/>
        </w:rPr>
        <w:t xml:space="preserve">contact@gcvb.fr  ·  @gcvbordeaux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8A3A" w:sz="6" w:space="6"/>
      </w:pBdr>
      <w:spacing w:before="80"/>
      <w:jc w:val="center"/>
    </w:pPr>
    <w:r>
      <w:rPr>
        <w:rFonts w:ascii="Georgia" w:cs="Georgia" w:eastAsia="Georgia" w:hAnsi="Georgia"/>
        <w:i/>
        <w:iCs/>
        <w:color w:val="1E2A56"/>
        <w:spacing w:val="30"/>
        <w:sz w:val="16"/>
        <w:szCs w:val="16"/>
      </w:rPr>
      <w:t xml:space="preserve">Bordeaux, toujours Bordeaux</w:t>
    </w:r>
  </w:p>
  <w:p>
    <w:pPr>
      <w:jc w:val="center"/>
    </w:pPr>
    <w:r>
      <w:rPr>
        <w:rFonts w:ascii="Arial" w:cs="Arial" w:eastAsia="Arial" w:hAnsi="Arial"/>
        <w:color w:val="B08A3A"/>
        <w:sz w:val="14"/>
        <w:szCs w:val="14"/>
      </w:rPr>
      <w:t xml:space="preserve">commanderiedebordeaux.com.br  ·  página </w:t>
    </w:r>
    <w:r>
      <w:rPr>
        <w:rFonts w:ascii="Arial" w:cs="Arial" w:eastAsia="Arial" w:hAnsi="Arial"/>
        <w:color w:val="B08A3A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◆"/>
      <w:lvlJc w:val="left"/>
      <w:pPr>
        <w:ind w:left="360" w:hanging="260"/>
      </w:pPr>
      <w:rPr>
        <w:color w:val="B08A3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5dfbea6d22a97454303f45ffb9759bc3e2a4f65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Release para a Imprensa — Recife</dc:title>
  <dc:creator>Commanderie de Bordeaux no Brasil</dc:creator>
  <dc:description>Commanderie de Bordeaux entroniza nove novos comendadores em Recife</dc:description>
  <cp:lastModifiedBy>Un-named</cp:lastModifiedBy>
  <cp:revision>1</cp:revision>
  <dcterms:created xsi:type="dcterms:W3CDTF">2026-08-07T17:19:14.993Z</dcterms:created>
  <dcterms:modified xsi:type="dcterms:W3CDTF">2026-08-07T17:19:14.994Z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