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Chars="0" w:firstLine="0"/>
      </w:pPr>
    </w:p>
    <w:p>
      <w:pPr>
        <w:ind w:firstLineChars="0" w:firstLine="0"/>
      </w:pPr>
    </w:p>
    <w:p>
      <w:pPr>
        <w:ind w:firstLineChars="0" w:firstLine="0"/>
      </w:pPr>
    </w:p>
    <w:p>
      <w:pPr>
        <w:ind w:firstLineChars="0" w:firstLine="0"/>
      </w:pPr>
    </w:p>
    <w:p>
      <w:pPr>
        <w:pStyle w:val="Title"/>
        <w:ind w:firstLineChars="0" w:firstLine="0"/>
      </w:pPr>
      <w:r>
        <w:rPr>
          <w:rFonts w:ascii="Times New Roman" w:hAnsi="Times New Roman" w:eastAsia="黑体" w:cs="Times New Roman"/>
          <w:b/>
          <w:color w:val="000000"/>
          <w:sz w:val="36"/>
        </w:rPr>
        <w:t>测试控制台需求文档</w:t>
      </w:r>
    </w:p>
    <w:p>
      <w:pPr>
        <w:spacing w:after="240"/>
        <w:ind w:firstLineChars="0"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4"/>
        </w:rPr>
        <w:t>车间测试管理平台</w:t>
      </w:r>
    </w:p>
    <w:p>
      <w:pPr>
        <w:ind w:firstLineChars="0" w:firstLine="0"/>
      </w:pPr>
    </w:p>
    <w:p>
      <w:pPr>
        <w:ind w:firstLineChars="0" w:firstLine="0"/>
      </w:pPr>
    </w:p>
    <w:p>
      <w:pPr>
        <w:ind w:firstLineChars="0" w:firstLine="0"/>
      </w:pPr>
    </w:p>
    <w:p>
      <w:pPr>
        <w:ind w:firstLineChars="0" w:firstLine="0"/>
      </w:pPr>
    </w:p>
    <w:p>
      <w:pPr>
        <w:ind w:firstLineChars="0" w:firstLine="0"/>
      </w:pPr>
    </w:p>
    <w:p>
      <w:pPr>
        <w:ind w:firstLineChars="0" w:firstLin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rHeight w:val="623" w:hRule="atLeast"/>
        </w:trPr>
        <w:tc>
          <w:tcPr>
            <w:tcW w:type="dxa" w:w="2268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编  制</w:t>
            </w:r>
          </w:p>
        </w:tc>
        <w:tc>
          <w:tcPr>
            <w:tcW w:type="dxa" w:w="2268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校  核</w:t>
            </w:r>
          </w:p>
        </w:tc>
        <w:tc>
          <w:tcPr>
            <w:tcW w:type="dxa" w:w="2268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审  核</w:t>
            </w:r>
          </w:p>
        </w:tc>
        <w:tc>
          <w:tcPr>
            <w:tcW w:type="dxa" w:w="2268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批  准</w:t>
            </w:r>
          </w:p>
        </w:tc>
      </w:tr>
      <w:tr>
        <w:trPr>
          <w:cantSplit/>
          <w:trHeight w:val="907" w:hRule="atLeast"/>
        </w:trPr>
        <w:tc>
          <w:tcPr>
            <w:tcW w:type="dxa" w:w="2268"/>
            <w:vAlign w:val="center"/>
          </w:tcPr>
          <w:p>
            <w:pPr>
              <w:pStyle w:val="表格文字"/>
              <w:jc w:val="center"/>
              <w:ind w:firstLineChars="0" w:firstLine="0"/>
            </w:pPr>
          </w:p>
        </w:tc>
        <w:tc>
          <w:tcPr>
            <w:tcW w:type="dxa" w:w="2268"/>
            <w:vAlign w:val="center"/>
          </w:tcPr>
          <w:p>
            <w:pPr>
              <w:pStyle w:val="表格文字"/>
              <w:jc w:val="center"/>
              <w:ind w:firstLineChars="0" w:firstLine="0"/>
            </w:pPr>
          </w:p>
        </w:tc>
        <w:tc>
          <w:tcPr>
            <w:tcW w:type="dxa" w:w="2268"/>
            <w:vAlign w:val="center"/>
          </w:tcPr>
          <w:p>
            <w:pPr>
              <w:pStyle w:val="表格文字"/>
              <w:jc w:val="center"/>
              <w:ind w:firstLineChars="0" w:firstLine="0"/>
            </w:pPr>
          </w:p>
        </w:tc>
        <w:tc>
          <w:tcPr>
            <w:tcW w:type="dxa" w:w="2268"/>
            <w:vAlign w:val="center"/>
          </w:tcPr>
          <w:p>
            <w:pPr>
              <w:pStyle w:val="表格文字"/>
              <w:jc w:val="center"/>
              <w:ind w:firstLineChars="0" w:firstLine="0"/>
            </w:pPr>
          </w:p>
        </w:tc>
      </w:tr>
    </w:tbl>
    <w:p>
      <w:pPr>
        <w:spacing w:after="120"/>
        <w:ind w:firstLineChars="0" w:firstLine="0"/>
      </w:pPr>
    </w:p>
    <w:p>
      <w:pPr>
        <w:spacing w:after="120"/>
        <w:ind w:firstLineChars="0"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4"/>
        </w:rP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474"/>
        <w:gridCol w:w="1020"/>
        <w:gridCol w:w="3969"/>
        <w:gridCol w:w="1587"/>
      </w:tblGrid>
      <w:tr>
        <w:trPr>
          <w:cantSplit/>
          <w:trHeight w:val="567" w:hRule="atLeast"/>
        </w:trPr>
        <w:tc>
          <w:tcPr>
            <w:tcW w:type="dxa" w:w="1020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版本号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修订时间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修订人</w:t>
            </w:r>
          </w:p>
        </w:tc>
        <w:tc>
          <w:tcPr>
            <w:tcW w:type="dxa" w:w="3969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修订内容简述</w:t>
            </w:r>
          </w:p>
        </w:tc>
        <w:tc>
          <w:tcPr>
            <w:tcW w:type="dxa" w:w="1587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备注</w:t>
            </w:r>
          </w:p>
        </w:tc>
      </w:tr>
      <w:tr>
        <w:trPr>
          <w:cantSplit/>
          <w:trHeight w:val="567" w:hRule="atLeast"/>
        </w:trPr>
        <w:tc>
          <w:tcPr>
            <w:tcW w:type="dxa" w:w="1020"/>
            <w:vAlign w:val="center"/>
          </w:tcPr>
          <w:p>
            <w:pPr>
              <w:pStyle w:val="表格文字"/>
              <w:jc w:val="center"/>
              <w:ind w:firstLineChars="0" w:firstLine="0"/>
            </w:pPr>
          </w:p>
        </w:tc>
        <w:tc>
          <w:tcPr>
            <w:tcW w:type="dxa" w:w="1474"/>
            <w:vAlign w:val="center"/>
          </w:tcPr>
          <w:p>
            <w:pPr>
              <w:pStyle w:val="表格文字"/>
              <w:jc w:val="center"/>
              <w:ind w:firstLineChars="0" w:firstLine="0"/>
            </w:pPr>
          </w:p>
        </w:tc>
        <w:tc>
          <w:tcPr>
            <w:tcW w:type="dxa" w:w="1020"/>
            <w:vAlign w:val="center"/>
          </w:tcPr>
          <w:p>
            <w:pPr>
              <w:pStyle w:val="表格文字"/>
              <w:jc w:val="center"/>
              <w:ind w:firstLineChars="0" w:firstLine="0"/>
            </w:pPr>
          </w:p>
        </w:tc>
        <w:tc>
          <w:tcPr>
            <w:tcW w:type="dxa" w:w="3969"/>
            <w:vAlign w:val="center"/>
          </w:tcPr>
          <w:p>
            <w:pPr>
              <w:pStyle w:val="表格文字"/>
              <w:jc w:val="center"/>
              <w:ind w:firstLineChars="0" w:firstLine="0"/>
            </w:pPr>
          </w:p>
        </w:tc>
        <w:tc>
          <w:tcPr>
            <w:tcW w:type="dxa" w:w="1587"/>
            <w:vAlign w:val="center"/>
          </w:tcPr>
          <w:p>
            <w:pPr>
              <w:pStyle w:val="表格文字"/>
              <w:jc w:val="center"/>
              <w:ind w:firstLineChars="0" w:firstLine="0"/>
            </w:pPr>
          </w:p>
        </w:tc>
      </w:tr>
      <w:tr>
        <w:trPr>
          <w:cantSplit/>
          <w:trHeight w:val="567" w:hRule="atLeast"/>
        </w:trPr>
        <w:tc>
          <w:tcPr>
            <w:tcW w:type="dxa" w:w="1020"/>
            <w:vAlign w:val="center"/>
          </w:tcPr>
          <w:p>
            <w:pPr>
              <w:pStyle w:val="表格文字"/>
              <w:jc w:val="center"/>
              <w:ind w:firstLineChars="0" w:firstLine="0"/>
            </w:pPr>
          </w:p>
        </w:tc>
        <w:tc>
          <w:tcPr>
            <w:tcW w:type="dxa" w:w="1474"/>
            <w:vAlign w:val="center"/>
          </w:tcPr>
          <w:p>
            <w:pPr>
              <w:pStyle w:val="表格文字"/>
              <w:jc w:val="center"/>
              <w:ind w:firstLineChars="0" w:firstLine="0"/>
            </w:pPr>
          </w:p>
        </w:tc>
        <w:tc>
          <w:tcPr>
            <w:tcW w:type="dxa" w:w="1020"/>
            <w:vAlign w:val="center"/>
          </w:tcPr>
          <w:p>
            <w:pPr>
              <w:pStyle w:val="表格文字"/>
              <w:jc w:val="center"/>
              <w:ind w:firstLineChars="0" w:firstLine="0"/>
            </w:pPr>
          </w:p>
        </w:tc>
        <w:tc>
          <w:tcPr>
            <w:tcW w:type="dxa" w:w="3969"/>
            <w:vAlign w:val="center"/>
          </w:tcPr>
          <w:p>
            <w:pPr>
              <w:pStyle w:val="表格文字"/>
              <w:jc w:val="center"/>
              <w:ind w:firstLineChars="0" w:firstLine="0"/>
            </w:pPr>
          </w:p>
        </w:tc>
        <w:tc>
          <w:tcPr>
            <w:tcW w:type="dxa" w:w="1587"/>
            <w:vAlign w:val="center"/>
          </w:tcPr>
          <w:p>
            <w:pPr>
              <w:pStyle w:val="表格文字"/>
              <w:jc w:val="center"/>
              <w:ind w:firstLineChars="0" w:firstLine="0"/>
            </w:pPr>
          </w:p>
        </w:tc>
      </w:tr>
      <w:tr>
        <w:trPr>
          <w:cantSplit/>
          <w:trHeight w:val="567" w:hRule="atLeast"/>
        </w:trPr>
        <w:tc>
          <w:tcPr>
            <w:tcW w:type="dxa" w:w="1020"/>
            <w:vAlign w:val="center"/>
          </w:tcPr>
          <w:p>
            <w:pPr>
              <w:pStyle w:val="表格文字"/>
              <w:jc w:val="center"/>
              <w:ind w:firstLineChars="0" w:firstLine="0"/>
            </w:pPr>
          </w:p>
        </w:tc>
        <w:tc>
          <w:tcPr>
            <w:tcW w:type="dxa" w:w="1474"/>
            <w:vAlign w:val="center"/>
          </w:tcPr>
          <w:p>
            <w:pPr>
              <w:pStyle w:val="表格文字"/>
              <w:jc w:val="center"/>
              <w:ind w:firstLineChars="0" w:firstLine="0"/>
            </w:pPr>
          </w:p>
        </w:tc>
        <w:tc>
          <w:tcPr>
            <w:tcW w:type="dxa" w:w="1020"/>
            <w:vAlign w:val="center"/>
          </w:tcPr>
          <w:p>
            <w:pPr>
              <w:pStyle w:val="表格文字"/>
              <w:jc w:val="center"/>
              <w:ind w:firstLineChars="0" w:firstLine="0"/>
            </w:pPr>
          </w:p>
        </w:tc>
        <w:tc>
          <w:tcPr>
            <w:tcW w:type="dxa" w:w="3969"/>
            <w:vAlign w:val="center"/>
          </w:tcPr>
          <w:p>
            <w:pPr>
              <w:pStyle w:val="表格文字"/>
              <w:jc w:val="center"/>
              <w:ind w:firstLineChars="0" w:firstLine="0"/>
            </w:pPr>
          </w:p>
        </w:tc>
        <w:tc>
          <w:tcPr>
            <w:tcW w:type="dxa" w:w="1587"/>
            <w:vAlign w:val="center"/>
          </w:tcPr>
          <w:p>
            <w:pPr>
              <w:pStyle w:val="表格文字"/>
              <w:jc w:val="center"/>
              <w:ind w:firstLineChars="0" w:firstLine="0"/>
            </w:pPr>
          </w:p>
        </w:tc>
      </w:tr>
      <w:tr>
        <w:trPr>
          <w:cantSplit/>
          <w:trHeight w:val="567" w:hRule="atLeast"/>
        </w:trPr>
        <w:tc>
          <w:tcPr>
            <w:tcW w:type="dxa" w:w="1020"/>
            <w:vAlign w:val="center"/>
          </w:tcPr>
          <w:p>
            <w:pPr>
              <w:pStyle w:val="表格文字"/>
              <w:jc w:val="center"/>
              <w:ind w:firstLineChars="0" w:firstLine="0"/>
            </w:pPr>
          </w:p>
        </w:tc>
        <w:tc>
          <w:tcPr>
            <w:tcW w:type="dxa" w:w="1474"/>
            <w:vAlign w:val="center"/>
          </w:tcPr>
          <w:p>
            <w:pPr>
              <w:pStyle w:val="表格文字"/>
              <w:jc w:val="center"/>
              <w:ind w:firstLineChars="0" w:firstLine="0"/>
            </w:pPr>
          </w:p>
        </w:tc>
        <w:tc>
          <w:tcPr>
            <w:tcW w:type="dxa" w:w="1020"/>
            <w:vAlign w:val="center"/>
          </w:tcPr>
          <w:p>
            <w:pPr>
              <w:pStyle w:val="表格文字"/>
              <w:jc w:val="center"/>
              <w:ind w:firstLineChars="0" w:firstLine="0"/>
            </w:pPr>
          </w:p>
        </w:tc>
        <w:tc>
          <w:tcPr>
            <w:tcW w:type="dxa" w:w="3969"/>
            <w:vAlign w:val="center"/>
          </w:tcPr>
          <w:p>
            <w:pPr>
              <w:pStyle w:val="表格文字"/>
              <w:jc w:val="center"/>
              <w:ind w:firstLineChars="0" w:firstLine="0"/>
            </w:pPr>
          </w:p>
        </w:tc>
        <w:tc>
          <w:tcPr>
            <w:tcW w:type="dxa" w:w="1587"/>
            <w:vAlign w:val="center"/>
          </w:tcPr>
          <w:p>
            <w:pPr>
              <w:pStyle w:val="表格文字"/>
              <w:jc w:val="center"/>
              <w:ind w:firstLineChars="0" w:firstLine="0"/>
            </w:pPr>
          </w:p>
        </w:tc>
      </w:tr>
    </w:tbl>
    <w:p>
      <w:r>
        <w:br w:type="page"/>
      </w:r>
    </w:p>
    <w:p>
      <w:pPr>
        <w:spacing w:after="240"/>
        <w:ind w:firstLineChars="0"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目    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 待确认问题清单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1.1 报告管理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1.2 报警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1.3 设备与下位机对接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1.4 其他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6" w:history="1">
        <w:r>
          <w:t>2 产品概述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2.1 业务背景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2.2 系统范围与建设目标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2.3 角色定义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2.4 数据可见性规则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1" w:history="1">
        <w:r>
          <w:t>2.5 通用时间口径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2.6 状态与类型定义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3" w:history="1">
        <w:r>
          <w:t>3 组织单元（车间）管理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4" w:history="1">
        <w:r>
          <w:t>4 设备管理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5" w:history="1">
        <w:r>
          <w:t>5 订单管理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6" w:history="1">
        <w:r>
          <w:t>6 阈值管理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7" w:history="1">
        <w:r>
          <w:t>7 遥测数据管理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7.1 图谱数据（被测设备，文件上传）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9" w:history="1">
        <w:r>
          <w:t>7.2 实时数据（测试台，下位机推送）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0" w:history="1">
        <w:r>
          <w:t>8 报警管理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1" w:history="1">
        <w:r>
          <w:t>8.1 报警分类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2" w:history="1">
        <w:r>
          <w:t>8.2 报警信息与状态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3" w:history="1">
        <w:r>
          <w:t>8.3 报警的成立、升级与恢复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4" w:history="1">
        <w:r>
          <w:t>8.4 各类报警的产生方式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5" w:history="1">
        <w:r>
          <w:t>8.5 可见性与通知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6" w:history="1">
        <w:r>
          <w:t>9 消息与通告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7" w:history="1">
        <w:r>
          <w:t>10 报告管理（规划中，尚未实现）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8" w:history="1">
        <w:r>
          <w:t>11 系统自动处理任务</w:t>
        </w:r>
        <w:r>
          <w:tab/>
        </w:r>
        <w:r>
          <w:fldChar w:fldCharType="begin"/>
        </w:r>
        <w:r>
          <w:instrText xml:space="preserve"> PAGEREF _LarkToc00028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9" w:history="1">
        <w:r>
          <w:t>12 菜单与页面清单</w:t>
        </w:r>
        <w:r>
          <w:tab/>
        </w:r>
        <w:r>
          <w:fldChar w:fldCharType="begin"/>
        </w:r>
        <w:r>
          <w:instrText xml:space="preserve"> PAGEREF _LarkToc00029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0" w:history="1">
        <w:r>
          <w:t>13 关键业务约定</w:t>
        </w:r>
        <w:r>
          <w:tab/>
        </w:r>
        <w:r>
          <w:fldChar w:fldCharType="begin"/>
        </w:r>
        <w:r>
          <w:instrText xml:space="preserve"> PAGEREF _LarkToc00030 \h </w:instrText>
        </w:r>
        <w:r>
          <w:fldChar w:fldCharType="separate"/>
        </w:r>
        <w:r>
          <w:t>12</w:t>
        </w:r>
        <w:r>
          <w:fldChar w:fldCharType="end"/>
        </w:r>
      </w:hyperlink>
      <w:r>
        <w:fldChar w:fldCharType="end"/>
      </w:r>
    </w:p>
    <w:p>
      <w:pPr>
        <w:sectPr>
          <w:pgSz w:w="11906" w:h="16838"/>
          <w:pgMar w:top="1417" w:right="1417" w:bottom="1417" w:left="1417" w:header="850" w:footer="850" w:gutter="0"/>
          <w:cols w:space="720"/>
          <w:docGrid w:linePitch="360"/>
        </w:sectPr>
      </w:pPr>
    </w:p>
    <w:p>
      <w:pPr>
        <w:pStyle w:val="Heading1"/>
        <w:ind w:firstLineChars="0" w:firstLine="0"/>
      </w:pPr>
      <w:bookmarkStart w:id="1" w:name="_LarkToc00001"/>
      <w:r>
        <w:rPr>
          <w:rFonts w:ascii="Times New Roman" w:hAnsi="Times New Roman" w:eastAsia="黑体" w:cs="Times New Roman"/>
          <w:b/>
          <w:color w:val="000000"/>
          <w:sz w:val="32"/>
        </w:rPr>
        <w:t>1 待确认问题清单</w:t>
      </w:r>
      <w:bookmarkEnd w:id="1"/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本章列出需要与需求方确认的问题，确认前相关功能保持现状或暂不实现。“当前暂定做法”列为平台目前已实现或暂定的处理方式，“确认结论”列供评审时填写。</w:t>
      </w:r>
    </w:p>
    <w:p>
      <w:pPr>
        <w:pStyle w:val="Heading2"/>
        <w:ind w:firstLineChars="0" w:firstLine="0"/>
      </w:pPr>
      <w:bookmarkStart w:id="2" w:name="_LarkToc00002"/>
      <w:r>
        <w:rPr>
          <w:rFonts w:ascii="Times New Roman" w:hAnsi="Times New Roman" w:eastAsia="黑体" w:cs="Times New Roman"/>
          <w:b/>
          <w:color w:val="000000"/>
          <w:sz w:val="28"/>
        </w:rPr>
        <w:t>1.1 报告管理</w:t>
      </w:r>
      <w:bookmarkEnd w:id="2"/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报告管理为本次新增需求，尚未实现：外部系统按订单号提供订单报告（一单一报告，对方审核完成后不可修改），平台定时轮询获取，审核通过后可下载。以下问题需确认。</w:t>
      </w:r>
    </w:p>
    <w:p>
      <w:pPr>
        <w:pStyle w:val="Caption"/>
        <w:ind w:firstLineChars="0" w:firstLine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表1  报告管理待确认问题清单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3175"/>
        <w:gridCol w:w="1474"/>
        <w:gridCol w:w="2381"/>
        <w:gridCol w:w="1361"/>
      </w:tblGrid>
      <w:tr>
        <w:trPr>
          <w:cantSplit/>
          <w:tblHeader/>
        </w:trPr>
        <w:tc>
          <w:tcPr>
            <w:tcW w:type="dxa" w:w="680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3175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待确认问题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影响</w:t>
            </w:r>
          </w:p>
        </w:tc>
        <w:tc>
          <w:tcPr>
            <w:tcW w:type="dxa" w:w="2381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当前暂定做法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确认结论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175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报告由谁审核？只有质量审核员，还是多级（如车间主管 → 质量审核员）？</w:t>
            </w:r>
          </w:p>
        </w:tc>
        <w:tc>
          <w:tcPr>
            <w:tcW w:type="dxa" w:w="1474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审核流程与字段</w:t>
            </w:r>
          </w:p>
        </w:tc>
        <w:tc>
          <w:tcPr>
            <w:tcW w:type="dxa" w:w="2381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暂定一次审核（质量审核员）</w:t>
            </w:r>
          </w:p>
        </w:tc>
        <w:tc>
          <w:tcPr>
            <w:tcW w:type="dxa" w:w="1361"/>
            <w:vAlign w:val="center"/>
          </w:tcPr>
          <w:p>
            <w:pPr>
              <w:pStyle w:val="表格文字"/>
              <w:jc w:val="left"/>
              <w:ind w:firstLineChars="0" w:firstLine="0"/>
            </w:pP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175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审核结果有哪几种？驳回后是终态，还是回到“待获取”状态继续轮询等对方出新报告？</w:t>
            </w:r>
          </w:p>
        </w:tc>
        <w:tc>
          <w:tcPr>
            <w:tcW w:type="dxa" w:w="1474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报告状态机</w:t>
            </w:r>
          </w:p>
        </w:tc>
        <w:tc>
          <w:tcPr>
            <w:tcW w:type="dxa" w:w="2381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待确认</w:t>
            </w:r>
          </w:p>
        </w:tc>
        <w:tc>
          <w:tcPr>
            <w:tcW w:type="dxa" w:w="1361"/>
            <w:vAlign w:val="center"/>
          </w:tcPr>
          <w:p>
            <w:pPr>
              <w:pStyle w:val="表格文字"/>
              <w:jc w:val="left"/>
              <w:ind w:firstLineChars="0" w:firstLine="0"/>
            </w:pP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175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审核通过后谁能下载？审核员／单船项目主管（自己负责的订单）／车间主管、测试工程师？</w:t>
            </w:r>
          </w:p>
        </w:tc>
        <w:tc>
          <w:tcPr>
            <w:tcW w:type="dxa" w:w="1474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下载权限</w:t>
            </w:r>
          </w:p>
        </w:tc>
        <w:tc>
          <w:tcPr>
            <w:tcW w:type="dxa" w:w="2381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暂定“审核通过才可下载”</w:t>
            </w:r>
          </w:p>
        </w:tc>
        <w:tc>
          <w:tcPr>
            <w:tcW w:type="dxa" w:w="1361"/>
            <w:vAlign w:val="center"/>
          </w:tcPr>
          <w:p>
            <w:pPr>
              <w:pStyle w:val="表格文字"/>
              <w:jc w:val="left"/>
              <w:ind w:firstLineChars="0" w:firstLine="0"/>
            </w:pP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175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待审核的报告谁能看到？</w:t>
            </w:r>
          </w:p>
        </w:tc>
        <w:tc>
          <w:tcPr>
            <w:tcW w:type="dxa" w:w="1474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列表可见性</w:t>
            </w:r>
          </w:p>
        </w:tc>
        <w:tc>
          <w:tcPr>
            <w:tcW w:type="dxa" w:w="2381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待确认</w:t>
            </w:r>
          </w:p>
        </w:tc>
        <w:tc>
          <w:tcPr>
            <w:tcW w:type="dxa" w:w="1361"/>
            <w:vAlign w:val="center"/>
          </w:tcPr>
          <w:p>
            <w:pPr>
              <w:pStyle w:val="表格文字"/>
              <w:jc w:val="left"/>
              <w:ind w:firstLineChars="0" w:firstLine="0"/>
            </w:pP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3175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轮询的时间间隔与停止上限是多少？</w:t>
            </w:r>
          </w:p>
        </w:tc>
        <w:tc>
          <w:tcPr>
            <w:tcW w:type="dxa" w:w="1474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轮询频率与外部接口压力</w:t>
            </w:r>
          </w:p>
        </w:tc>
        <w:tc>
          <w:tcPr>
            <w:tcW w:type="dxa" w:w="2381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暂定每天一次，上限 30 天（或 60 次）</w:t>
            </w:r>
          </w:p>
        </w:tc>
        <w:tc>
          <w:tcPr>
            <w:tcW w:type="dxa" w:w="1361"/>
            <w:vAlign w:val="center"/>
          </w:tcPr>
          <w:p>
            <w:pPr>
              <w:pStyle w:val="表格文字"/>
              <w:jc w:val="left"/>
              <w:ind w:firstLineChars="0" w:firstLine="0"/>
            </w:pP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3175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外部接口的形态：返回文件流还是文件地址？“还没有报告”如何表示？</w:t>
            </w:r>
          </w:p>
        </w:tc>
        <w:tc>
          <w:tcPr>
            <w:tcW w:type="dxa" w:w="1474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外部接口对接方式</w:t>
            </w:r>
          </w:p>
        </w:tc>
        <w:tc>
          <w:tcPr>
            <w:tcW w:type="dxa" w:w="2381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等对方提供接口后再定</w:t>
            </w:r>
          </w:p>
        </w:tc>
        <w:tc>
          <w:tcPr>
            <w:tcW w:type="dxa" w:w="1361"/>
            <w:vAlign w:val="center"/>
          </w:tcPr>
          <w:p>
            <w:pPr>
              <w:pStyle w:val="表格文字"/>
              <w:jc w:val="left"/>
              <w:ind w:firstLineChars="0" w:firstLine="0"/>
            </w:pP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3175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单船项目主管不隶属车间，按现有可见性规则看不到任何数据；报告是否单独放开“查看自己负责订单的报告”？</w:t>
            </w:r>
          </w:p>
        </w:tc>
        <w:tc>
          <w:tcPr>
            <w:tcW w:type="dxa" w:w="1474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可见性</w:t>
            </w:r>
          </w:p>
        </w:tc>
        <w:tc>
          <w:tcPr>
            <w:tcW w:type="dxa" w:w="2381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待确认</w:t>
            </w:r>
          </w:p>
        </w:tc>
        <w:tc>
          <w:tcPr>
            <w:tcW w:type="dxa" w:w="1361"/>
            <w:vAlign w:val="center"/>
          </w:tcPr>
          <w:p>
            <w:pPr>
              <w:pStyle w:val="表格文字"/>
              <w:jc w:val="left"/>
              <w:ind w:firstLineChars="0" w:firstLine="0"/>
            </w:pPr>
          </w:p>
        </w:tc>
      </w:tr>
    </w:tbl>
    <w:p>
      <w:pPr>
        <w:spacing w:after="0" w:line="240" w:lineRule="auto"/>
        <w:ind w:firstLineChars="0" w:firstLine="0"/>
      </w:pPr>
    </w:p>
    <w:p>
      <w:pPr>
        <w:pStyle w:val="Heading2"/>
        <w:ind w:firstLineChars="0" w:firstLine="0"/>
      </w:pPr>
      <w:bookmarkStart w:id="3" w:name="_LarkToc00003"/>
      <w:r>
        <w:rPr>
          <w:rFonts w:ascii="Times New Roman" w:hAnsi="Times New Roman" w:eastAsia="黑体" w:cs="Times New Roman"/>
          <w:b/>
          <w:color w:val="000000"/>
          <w:sz w:val="28"/>
        </w:rPr>
        <w:t>1.2 报警</w:t>
      </w:r>
      <w:bookmarkEnd w:id="3"/>
    </w:p>
    <w:p>
      <w:pPr>
        <w:pStyle w:val="Caption"/>
        <w:ind w:firstLineChars="0" w:firstLine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表2  报警待确认问题清单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3175"/>
        <w:gridCol w:w="1474"/>
        <w:gridCol w:w="2381"/>
        <w:gridCol w:w="1361"/>
      </w:tblGrid>
      <w:tr>
        <w:trPr>
          <w:cantSplit/>
          <w:tblHeader/>
        </w:trPr>
        <w:tc>
          <w:tcPr>
            <w:tcW w:type="dxa" w:w="680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3175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待确认问题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影响</w:t>
            </w:r>
          </w:p>
        </w:tc>
        <w:tc>
          <w:tcPr>
            <w:tcW w:type="dxa" w:w="2381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当前暂定做法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确认结论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175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关联报警的换算公式（压力与流量的正常范围）是什么？</w:t>
            </w:r>
          </w:p>
        </w:tc>
        <w:tc>
          <w:tcPr>
            <w:tcW w:type="dxa" w:w="1474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关联报警判定</w:t>
            </w:r>
          </w:p>
        </w:tc>
        <w:tc>
          <w:tcPr>
            <w:tcW w:type="dxa" w:w="2381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未实现，等公式</w:t>
            </w:r>
          </w:p>
        </w:tc>
        <w:tc>
          <w:tcPr>
            <w:tcW w:type="dxa" w:w="1361"/>
            <w:vAlign w:val="center"/>
          </w:tcPr>
          <w:p>
            <w:pPr>
              <w:pStyle w:val="表格文字"/>
              <w:jc w:val="left"/>
              <w:ind w:firstLineChars="0" w:firstLine="0"/>
            </w:pP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175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数据类报警（阈值报警、设备报警）要不要也发送“已恢复”消息？</w:t>
            </w:r>
          </w:p>
        </w:tc>
        <w:tc>
          <w:tcPr>
            <w:tcW w:type="dxa" w:w="1474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消息数量与使用体验</w:t>
            </w:r>
          </w:p>
        </w:tc>
        <w:tc>
          <w:tcPr>
            <w:tcW w:type="dxa" w:w="2381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目前只有通信报警发送恢复消息</w:t>
            </w:r>
          </w:p>
        </w:tc>
        <w:tc>
          <w:tcPr>
            <w:tcW w:type="dxa" w:w="1361"/>
            <w:vAlign w:val="center"/>
          </w:tcPr>
          <w:p>
            <w:pPr>
              <w:pStyle w:val="表格文字"/>
              <w:jc w:val="left"/>
              <w:ind w:firstLineChars="0" w:firstLine="0"/>
            </w:pP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175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实时数据约 2 秒一帧，数值在阈值附近抖动时会出现“成立 → 恢复 → 再成立”，可能永远等不到 5 分钟；是否需要增加恢复迟滞（条件不再满足并持续一段时间才判恢复）？</w:t>
            </w:r>
          </w:p>
        </w:tc>
        <w:tc>
          <w:tcPr>
            <w:tcW w:type="dxa" w:w="1474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阈值报警判定</w:t>
            </w:r>
          </w:p>
        </w:tc>
        <w:tc>
          <w:tcPr>
            <w:tcW w:type="dxa" w:w="2381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暂未增加</w:t>
            </w:r>
          </w:p>
        </w:tc>
        <w:tc>
          <w:tcPr>
            <w:tcW w:type="dxa" w:w="1361"/>
            <w:vAlign w:val="center"/>
          </w:tcPr>
          <w:p>
            <w:pPr>
              <w:pStyle w:val="表格文字"/>
              <w:jc w:val="left"/>
              <w:ind w:firstLineChars="0" w:firstLine="0"/>
            </w:pPr>
          </w:p>
        </w:tc>
      </w:tr>
    </w:tbl>
    <w:p>
      <w:pPr>
        <w:spacing w:after="0" w:line="240" w:lineRule="auto"/>
        <w:ind w:firstLineChars="0" w:firstLine="0"/>
      </w:pPr>
    </w:p>
    <w:p>
      <w:pPr>
        <w:pStyle w:val="Heading2"/>
        <w:ind w:firstLineChars="0" w:firstLine="0"/>
      </w:pPr>
      <w:bookmarkStart w:id="4" w:name="_LarkToc00004"/>
      <w:r>
        <w:rPr>
          <w:rFonts w:ascii="Times New Roman" w:hAnsi="Times New Roman" w:eastAsia="黑体" w:cs="Times New Roman"/>
          <w:b/>
          <w:color w:val="000000"/>
          <w:sz w:val="28"/>
        </w:rPr>
        <w:t>1.3 设备与下位机对接</w:t>
      </w:r>
      <w:bookmarkEnd w:id="4"/>
    </w:p>
    <w:p>
      <w:pPr>
        <w:pStyle w:val="Caption"/>
        <w:ind w:firstLineChars="0" w:firstLine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表3  设备与下位机对接待确认问题清单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3175"/>
        <w:gridCol w:w="1474"/>
        <w:gridCol w:w="2381"/>
        <w:gridCol w:w="1361"/>
      </w:tblGrid>
      <w:tr>
        <w:trPr>
          <w:cantSplit/>
          <w:tblHeader/>
        </w:trPr>
        <w:tc>
          <w:tcPr>
            <w:tcW w:type="dxa" w:w="680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3175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待确认问题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影响</w:t>
            </w:r>
          </w:p>
        </w:tc>
        <w:tc>
          <w:tcPr>
            <w:tcW w:type="dxa" w:w="2381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当前暂定做法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确认结论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175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测试台急停在实时数据里的传递方式是什么？</w:t>
            </w:r>
          </w:p>
        </w:tc>
        <w:tc>
          <w:tcPr>
            <w:tcW w:type="dxa" w:w="1474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设备报警判定</w:t>
            </w:r>
          </w:p>
        </w:tc>
        <w:tc>
          <w:tcPr>
            <w:tcW w:type="dxa" w:w="2381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目前按急停标志字段（true 表示急停）实现</w:t>
            </w:r>
          </w:p>
        </w:tc>
        <w:tc>
          <w:tcPr>
            <w:tcW w:type="dxa" w:w="1361"/>
            <w:vAlign w:val="center"/>
          </w:tcPr>
          <w:p>
            <w:pPr>
              <w:pStyle w:val="表格文字"/>
              <w:jc w:val="left"/>
              <w:ind w:firstLineChars="0" w:firstLine="0"/>
            </w:pP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175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下位机上报的物理量类型字符串清单是什么（需与平台规范编码一致）？</w:t>
            </w:r>
          </w:p>
        </w:tc>
        <w:tc>
          <w:tcPr>
            <w:tcW w:type="dxa" w:w="1474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数据入口归一化</w:t>
            </w:r>
          </w:p>
        </w:tc>
        <w:tc>
          <w:tcPr>
            <w:tcW w:type="dxa" w:w="2381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已按 5 个规范编码实现，兼容大小写与中文名</w:t>
            </w:r>
          </w:p>
        </w:tc>
        <w:tc>
          <w:tcPr>
            <w:tcW w:type="dxa" w:w="1361"/>
            <w:vAlign w:val="center"/>
          </w:tcPr>
          <w:p>
            <w:pPr>
              <w:pStyle w:val="表格文字"/>
              <w:jc w:val="left"/>
              <w:ind w:firstLineChars="0" w:firstLine="0"/>
            </w:pP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175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实时数据的推送频率与字段是否与已实现的一致？</w:t>
            </w:r>
          </w:p>
        </w:tc>
        <w:tc>
          <w:tcPr>
            <w:tcW w:type="dxa" w:w="1474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数据结构与判定频率</w:t>
            </w:r>
          </w:p>
        </w:tc>
        <w:tc>
          <w:tcPr>
            <w:tcW w:type="dxa" w:w="2381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已按“约 2 秒一帧、5 个物理量”实现</w:t>
            </w:r>
          </w:p>
        </w:tc>
        <w:tc>
          <w:tcPr>
            <w:tcW w:type="dxa" w:w="1361"/>
            <w:vAlign w:val="center"/>
          </w:tcPr>
          <w:p>
            <w:pPr>
              <w:pStyle w:val="表格文字"/>
              <w:jc w:val="left"/>
              <w:ind w:firstLineChars="0" w:firstLine="0"/>
            </w:pPr>
          </w:p>
        </w:tc>
      </w:tr>
    </w:tbl>
    <w:p>
      <w:pPr>
        <w:spacing w:after="0" w:line="240" w:lineRule="auto"/>
        <w:ind w:firstLineChars="0" w:firstLine="0"/>
      </w:pPr>
    </w:p>
    <w:p>
      <w:pPr>
        <w:pStyle w:val="Heading2"/>
        <w:ind w:firstLineChars="0" w:firstLine="0"/>
      </w:pPr>
      <w:bookmarkStart w:id="5" w:name="_LarkToc00005"/>
      <w:r>
        <w:rPr>
          <w:rFonts w:ascii="Times New Roman" w:hAnsi="Times New Roman" w:eastAsia="黑体" w:cs="Times New Roman"/>
          <w:b/>
          <w:color w:val="000000"/>
          <w:sz w:val="28"/>
        </w:rPr>
        <w:t>1.4 其他</w:t>
      </w:r>
      <w:bookmarkEnd w:id="5"/>
    </w:p>
    <w:p>
      <w:pPr>
        <w:pStyle w:val="Caption"/>
        <w:ind w:firstLineChars="0" w:firstLine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表4  其他待确认问题清单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3175"/>
        <w:gridCol w:w="1474"/>
        <w:gridCol w:w="2381"/>
        <w:gridCol w:w="1361"/>
      </w:tblGrid>
      <w:tr>
        <w:trPr>
          <w:cantSplit/>
          <w:tblHeader/>
        </w:trPr>
        <w:tc>
          <w:tcPr>
            <w:tcW w:type="dxa" w:w="680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3175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待确认问题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影响</w:t>
            </w:r>
          </w:p>
        </w:tc>
        <w:tc>
          <w:tcPr>
            <w:tcW w:type="dxa" w:w="2381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当前暂定做法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确认结论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175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实时数据（时序数据）应保留多长时间？（遥测文件的保留期目前为 3 年、可配置，实时数据的保留期限待确认）</w:t>
            </w:r>
          </w:p>
        </w:tc>
        <w:tc>
          <w:tcPr>
            <w:tcW w:type="dxa" w:w="1474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存储与查询成本</w:t>
            </w:r>
          </w:p>
        </w:tc>
        <w:tc>
          <w:tcPr>
            <w:tcW w:type="dxa" w:w="2381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未定；遥测文件当前按 3 年保留、可配置</w:t>
            </w:r>
          </w:p>
        </w:tc>
        <w:tc>
          <w:tcPr>
            <w:tcW w:type="dxa" w:w="1361"/>
            <w:vAlign w:val="center"/>
          </w:tcPr>
          <w:p>
            <w:pPr>
              <w:pStyle w:val="表格文字"/>
              <w:jc w:val="left"/>
              <w:ind w:firstLineChars="0" w:firstLine="0"/>
            </w:pP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175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实时数据在页面哪里展示、以什么维度展示？是否单独做一个页面？下位机约 2 秒上报一帧，页面多久刷新一次，高频刷新是否合适？</w:t>
            </w:r>
          </w:p>
        </w:tc>
        <w:tc>
          <w:tcPr>
            <w:tcW w:type="dxa" w:w="1474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页面设计、交互性能与数据推送策略</w:t>
            </w:r>
          </w:p>
        </w:tc>
        <w:tc>
          <w:tcPr>
            <w:tcW w:type="dxa" w:w="2381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暂未确定页面形态与展示维度；建议不采用 2 秒前端轮询，采用服务端推送并按需降频</w:t>
            </w:r>
          </w:p>
        </w:tc>
        <w:tc>
          <w:tcPr>
            <w:tcW w:type="dxa" w:w="1361"/>
            <w:vAlign w:val="center"/>
          </w:tcPr>
          <w:p>
            <w:pPr>
              <w:pStyle w:val="表格文字"/>
              <w:jc w:val="left"/>
              <w:ind w:firstLineChars="0" w:firstLine="0"/>
            </w:pP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175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质量审核员不属于任何车间，当前看不到订单列表；是否需要放开全部订单权限，或仅开放部分订单范围？</w:t>
            </w:r>
          </w:p>
        </w:tc>
        <w:tc>
          <w:tcPr>
            <w:tcW w:type="dxa" w:w="1474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订单模块数据可见权限</w:t>
            </w:r>
          </w:p>
        </w:tc>
        <w:tc>
          <w:tcPr>
            <w:tcW w:type="dxa" w:w="2381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未定；单船项目主管可查看自己负责的订单（按订单上项目主管确定）</w:t>
            </w:r>
          </w:p>
        </w:tc>
        <w:tc>
          <w:tcPr>
            <w:tcW w:type="dxa" w:w="1361"/>
            <w:vAlign w:val="center"/>
          </w:tcPr>
          <w:p>
            <w:pPr>
              <w:pStyle w:val="表格文字"/>
              <w:jc w:val="left"/>
              <w:ind w:firstLineChars="0" w:firstLine="0"/>
            </w:pPr>
          </w:p>
        </w:tc>
      </w:tr>
    </w:tbl>
    <w:p>
      <w:pPr>
        <w:spacing w:after="0" w:line="240" w:lineRule="auto"/>
        <w:ind w:firstLineChars="0" w:firstLine="0"/>
      </w:pPr>
    </w:p>
    <w:p>
      <w:pPr>
        <w:pStyle w:val="Heading1"/>
        <w:ind w:firstLineChars="0" w:firstLine="0"/>
      </w:pPr>
      <w:bookmarkStart w:id="6" w:name="_LarkToc00006"/>
      <w:r>
        <w:rPr>
          <w:rFonts w:ascii="Times New Roman" w:hAnsi="Times New Roman" w:eastAsia="黑体" w:cs="Times New Roman"/>
          <w:b/>
          <w:color w:val="000000"/>
          <w:sz w:val="32"/>
        </w:rPr>
        <w:t>2 产品概述</w:t>
      </w:r>
      <w:bookmarkEnd w:id="6"/>
    </w:p>
    <w:p>
      <w:pPr>
        <w:pStyle w:val="Heading2"/>
        <w:ind w:firstLineChars="0" w:firstLine="0"/>
      </w:pPr>
      <w:bookmarkStart w:id="7" w:name="_LarkToc00007"/>
      <w:r>
        <w:rPr>
          <w:rFonts w:ascii="Times New Roman" w:hAnsi="Times New Roman" w:eastAsia="黑体" w:cs="Times New Roman"/>
          <w:b/>
          <w:color w:val="000000"/>
          <w:sz w:val="28"/>
        </w:rPr>
        <w:t>2.1 业务背景</w:t>
      </w:r>
      <w:bookmarkEnd w:id="7"/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本平台服务于船用液压产品的车间测试业务。现场下位机（测试台）负责测试并产生测试数据，平台负责设备与订单管理、遥测数据归集、阈值与报警管理，并把报警以站内消息的形式推送给相关人员。</w:t>
      </w: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平台目前覆盖黄岛车间、宁波车间，两个车间共用一套平台，按车间做数据隔离与权限控制；后续新增车间可按同一方式扩展。</w:t>
      </w:r>
    </w:p>
    <w:p>
      <w:pPr>
        <w:pStyle w:val="Heading2"/>
        <w:ind w:firstLineChars="0" w:firstLine="0"/>
      </w:pPr>
      <w:bookmarkStart w:id="8" w:name="_LarkToc00008"/>
      <w:r>
        <w:rPr>
          <w:rFonts w:ascii="Times New Roman" w:hAnsi="Times New Roman" w:eastAsia="黑体" w:cs="Times New Roman"/>
          <w:b/>
          <w:color w:val="000000"/>
          <w:sz w:val="28"/>
        </w:rPr>
        <w:t>2.2 系统范围与建设目标</w:t>
      </w:r>
      <w:bookmarkEnd w:id="8"/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平台的建设目标如下。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建立黄岛、宁波等车间测试台的统一联网与数据归集平台，实现测试数据的集中管理与共享；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建立车间设备台账，统一管理测试台、设备类型与所属车间；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实现订单录入与测试进度管控（开始测试、结束测试、取消订单），并保留订单与实际测试数据的对应关系；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归集两类测试数据：被测设备的图谱数据（文件上传）与测试台的实时数据（下位机推送）；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建立按设备类型配置的阈值管理，实现阈值报警、设备报警、通信报警的自动判定、逐级升级与恢复；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通过站内消息把报警通知与订单通知推送给对应的角色；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为后续订单报告管理预留能力（见第 10 章）。</w:t>
      </w:r>
    </w:p>
    <w:p>
      <w:pPr>
        <w:pStyle w:val="Heading2"/>
        <w:ind w:firstLineChars="0" w:firstLine="0"/>
      </w:pPr>
      <w:bookmarkStart w:id="9" w:name="_LarkToc00009"/>
      <w:r>
        <w:rPr>
          <w:rFonts w:ascii="Times New Roman" w:hAnsi="Times New Roman" w:eastAsia="黑体" w:cs="Times New Roman"/>
          <w:b/>
          <w:color w:val="000000"/>
          <w:sz w:val="28"/>
        </w:rPr>
        <w:t>2.3 角色定义</w:t>
      </w:r>
      <w:bookmarkEnd w:id="9"/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平台按角色分配数据范围与操作权限。角色分为全局岗位与车间岗位两类：车间岗位的用户隶属某个车间，其数据范围受所属车间限制；全局岗位不隶属车间，数据范围按模块单独约定（见 2.4）。</w:t>
      </w:r>
    </w:p>
    <w:p>
      <w:pPr>
        <w:pStyle w:val="Caption"/>
        <w:ind w:firstLineChars="0" w:firstLine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表5  系统角色定义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041"/>
        <w:gridCol w:w="5329"/>
      </w:tblGrid>
      <w:tr>
        <w:trPr>
          <w:cantSplit/>
          <w:tblHeader/>
        </w:trPr>
        <w:tc>
          <w:tcPr>
            <w:tcW w:type="dxa" w:w="1701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角色</w:t>
            </w:r>
          </w:p>
        </w:tc>
        <w:tc>
          <w:tcPr>
            <w:tcW w:type="dxa" w:w="2041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归属</w:t>
            </w:r>
          </w:p>
        </w:tc>
        <w:tc>
          <w:tcPr>
            <w:tcW w:type="dxa" w:w="5329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说明与主要职责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管理员</w:t>
            </w:r>
          </w:p>
        </w:tc>
        <w:tc>
          <w:tcPr>
            <w:tcW w:type="dxa" w:w="2041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全局</w:t>
            </w:r>
          </w:p>
        </w:tc>
        <w:tc>
          <w:tcPr>
            <w:tcW w:type="dxa" w:w="5329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可查看全部数据，负责设备、阈值等基础配置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车间主管</w:t>
            </w:r>
          </w:p>
        </w:tc>
        <w:tc>
          <w:tcPr>
            <w:tcW w:type="dxa" w:w="2041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隶属某个车间</w:t>
            </w:r>
          </w:p>
        </w:tc>
        <w:tc>
          <w:tcPr>
            <w:tcW w:type="dxa" w:w="5329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负责本车间测试工作，接收报警升级通知与订单创建通知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测试工程师</w:t>
            </w:r>
          </w:p>
        </w:tc>
        <w:tc>
          <w:tcPr>
            <w:tcW w:type="dxa" w:w="2041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隶属某个车间</w:t>
            </w:r>
          </w:p>
        </w:tc>
        <w:tc>
          <w:tcPr>
            <w:tcW w:type="dxa" w:w="5329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车间测试执行人，报警的第一处理人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大区负责人</w:t>
            </w:r>
          </w:p>
        </w:tc>
        <w:tc>
          <w:tcPr>
            <w:tcW w:type="dxa" w:w="2041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隶属某个车间</w:t>
            </w:r>
          </w:p>
        </w:tc>
        <w:tc>
          <w:tcPr>
            <w:tcW w:type="dxa" w:w="5329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接收本车间订单的创建通知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调度</w:t>
            </w:r>
          </w:p>
        </w:tc>
        <w:tc>
          <w:tcPr>
            <w:tcW w:type="dxa" w:w="2041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全局岗位，不隶属车间</w:t>
            </w:r>
          </w:p>
        </w:tc>
        <w:tc>
          <w:tcPr>
            <w:tcW w:type="dxa" w:w="5329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负责订单的创建与流转，可跨车间管理订单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单船项目主管</w:t>
            </w:r>
          </w:p>
        </w:tc>
        <w:tc>
          <w:tcPr>
            <w:tcW w:type="dxa" w:w="2041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全局岗位</w:t>
            </w:r>
          </w:p>
        </w:tc>
        <w:tc>
          <w:tcPr>
            <w:tcW w:type="dxa" w:w="5329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订单上的必选人员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质量审核员</w:t>
            </w:r>
          </w:p>
        </w:tc>
        <w:tc>
          <w:tcPr>
            <w:tcW w:type="dxa" w:w="2041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全局岗位</w:t>
            </w:r>
          </w:p>
        </w:tc>
        <w:tc>
          <w:tcPr>
            <w:tcW w:type="dxa" w:w="5329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后续负责订单报告审核（见第 10 章）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访客</w:t>
            </w:r>
          </w:p>
        </w:tc>
        <w:tc>
          <w:tcPr>
            <w:tcW w:type="dxa" w:w="2041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全局</w:t>
            </w:r>
          </w:p>
        </w:tc>
        <w:tc>
          <w:tcPr>
            <w:tcW w:type="dxa" w:w="5329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只读</w:t>
            </w:r>
          </w:p>
        </w:tc>
      </w:tr>
    </w:tbl>
    <w:p>
      <w:pPr>
        <w:spacing w:after="0" w:line="240" w:lineRule="auto"/>
        <w:ind w:firstLineChars="0" w:firstLine="0"/>
      </w:pPr>
    </w:p>
    <w:p>
      <w:pPr>
        <w:pStyle w:val="Heading2"/>
        <w:ind w:firstLineChars="0" w:firstLine="0"/>
      </w:pPr>
      <w:bookmarkStart w:id="10" w:name="_LarkToc00010"/>
      <w:r>
        <w:rPr>
          <w:rFonts w:ascii="Times New Roman" w:hAnsi="Times New Roman" w:eastAsia="黑体" w:cs="Times New Roman"/>
          <w:b/>
          <w:color w:val="000000"/>
          <w:sz w:val="28"/>
        </w:rPr>
        <w:t>2.4 数据可见性规则</w:t>
      </w:r>
      <w:bookmarkEnd w:id="10"/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平台的可访问范围按用户所属组织单元（车间）计算：可访问范围等于用户所属车间集合；管理员不受此限制，可查看全部数据；用户不属于任何车间时，可访问范围为空，看不到业务数据。各模块的可见范围如下。</w:t>
      </w:r>
    </w:p>
    <w:p>
      <w:pPr>
        <w:pStyle w:val="Caption"/>
        <w:ind w:firstLineChars="0" w:firstLine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表6  各模块数据可见范围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247"/>
        <w:gridCol w:w="2041"/>
        <w:gridCol w:w="4309"/>
      </w:tblGrid>
      <w:tr>
        <w:trPr>
          <w:cantSplit/>
          <w:tblHeader/>
        </w:trPr>
        <w:tc>
          <w:tcPr>
            <w:tcW w:type="dxa" w:w="1474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管理员</w:t>
            </w:r>
          </w:p>
        </w:tc>
        <w:tc>
          <w:tcPr>
            <w:tcW w:type="dxa" w:w="2041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调度</w:t>
            </w:r>
          </w:p>
        </w:tc>
        <w:tc>
          <w:tcPr>
            <w:tcW w:type="dxa" w:w="4309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其他角色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设备管理</w:t>
            </w:r>
          </w:p>
        </w:tc>
        <w:tc>
          <w:tcPr>
            <w:tcW w:type="dxa" w:w="1247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全部</w:t>
            </w:r>
          </w:p>
        </w:tc>
        <w:tc>
          <w:tcPr>
            <w:tcW w:type="dxa" w:w="2041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无（不隶属车间）</w:t>
            </w:r>
          </w:p>
        </w:tc>
        <w:tc>
          <w:tcPr>
            <w:tcW w:type="dxa" w:w="4309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仅所属车间的设备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订单管理</w:t>
            </w:r>
          </w:p>
        </w:tc>
        <w:tc>
          <w:tcPr>
            <w:tcW w:type="dxa" w:w="1247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全部</w:t>
            </w:r>
          </w:p>
        </w:tc>
        <w:tc>
          <w:tcPr>
            <w:tcW w:type="dxa" w:w="2041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全部</w:t>
            </w:r>
          </w:p>
        </w:tc>
        <w:tc>
          <w:tcPr>
            <w:tcW w:type="dxa" w:w="4309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仅所属车间设备的订单（单船项目主管可查看自己负责的订单）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报警管理</w:t>
            </w:r>
          </w:p>
        </w:tc>
        <w:tc>
          <w:tcPr>
            <w:tcW w:type="dxa" w:w="1247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全部</w:t>
            </w:r>
          </w:p>
        </w:tc>
        <w:tc>
          <w:tcPr>
            <w:tcW w:type="dxa" w:w="2041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无（不隶属车间）</w:t>
            </w:r>
          </w:p>
        </w:tc>
        <w:tc>
          <w:tcPr>
            <w:tcW w:type="dxa" w:w="4309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仅所属车间的报警</w:t>
            </w:r>
          </w:p>
        </w:tc>
      </w:tr>
    </w:tbl>
    <w:p>
      <w:pPr>
        <w:spacing w:after="0" w:line="240" w:lineRule="auto"/>
        <w:ind w:firstLineChars="0" w:firstLine="0"/>
      </w:pP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对可见性规则的补充说明如下。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设备、订单、报警三个模块共用同一套可见性实现，规则为“管理员看全部，其他角色按所属车间”。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订单模块对调度额外放开：调度是全局岗位、不隶属车间，但需要跨车间管理订单，因此在订单模块中与管理员一样不受车间限制。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订单模块对单船项目主管额外放开：单船项目主管可查看自己作为项目主管的全部订单，不受所属车间范围限制（订单上带有项目主管字段）。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质量审核员不隶属车间，在订单模块的可见范围当前尚未确定，见“其他”模块第 3 项。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调度在设备管理与报警管理中没有豁免，因为这两个模块的数据按车间归属；当前先按此实现，后续需要放开再调整。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订单模块的可见性不只在列表中过滤，按订单直接访问的入口（订单详情、开始测试、结束测试、取消测试、订单下的遥测任务与遥测数据）都会做同样的车间校验，避免绕过列表访问。</w:t>
      </w:r>
    </w:p>
    <w:p>
      <w:pPr>
        <w:pStyle w:val="Heading2"/>
        <w:ind w:firstLineChars="0" w:firstLine="0"/>
      </w:pPr>
      <w:bookmarkStart w:id="11" w:name="_LarkToc00011"/>
      <w:r>
        <w:rPr>
          <w:rFonts w:ascii="Times New Roman" w:hAnsi="Times New Roman" w:eastAsia="黑体" w:cs="Times New Roman"/>
          <w:b/>
          <w:color w:val="000000"/>
          <w:sz w:val="28"/>
        </w:rPr>
        <w:t>2.5 通用时间口径</w:t>
      </w:r>
      <w:bookmarkEnd w:id="11"/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下位机上报的时间都是本地时间（东八区）。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平台数据统一按 UTC 存储。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平台内部逻辑与“当前时间”比较时使用本地时间，保证与上报口径一致。</w:t>
      </w:r>
    </w:p>
    <w:p>
      <w:pPr>
        <w:pStyle w:val="Heading2"/>
        <w:ind w:firstLineChars="0" w:firstLine="0"/>
      </w:pPr>
      <w:bookmarkStart w:id="12" w:name="_LarkToc00012"/>
      <w:r>
        <w:rPr>
          <w:rFonts w:ascii="Times New Roman" w:hAnsi="Times New Roman" w:eastAsia="黑体" w:cs="Times New Roman"/>
          <w:b/>
          <w:color w:val="000000"/>
          <w:sz w:val="28"/>
        </w:rPr>
        <w:t>2.6 状态与类型定义</w:t>
      </w:r>
      <w:bookmarkEnd w:id="12"/>
    </w:p>
    <w:p>
      <w:pPr>
        <w:pStyle w:val="Caption"/>
        <w:ind w:firstLineChars="0" w:firstLine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表7  状态与类型取值定义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402"/>
        <w:gridCol w:w="4195"/>
      </w:tblGrid>
      <w:tr>
        <w:trPr>
          <w:cantSplit/>
          <w:tblHeader/>
        </w:trPr>
        <w:tc>
          <w:tcPr>
            <w:tcW w:type="dxa" w:w="1474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分类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取值</w:t>
            </w:r>
          </w:p>
        </w:tc>
        <w:tc>
          <w:tcPr>
            <w:tcW w:type="dxa" w:w="4195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设备类型</w:t>
            </w:r>
          </w:p>
        </w:tc>
        <w:tc>
          <w:tcPr>
            <w:tcW w:type="dxa" w:w="3402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FIVA / PUMP（液压泵）/ ICU / SENSOR</w:t>
            </w:r>
          </w:p>
        </w:tc>
        <w:tc>
          <w:tcPr>
            <w:tcW w:type="dxa" w:w="4195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测试台与传感器的类型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报警类型</w:t>
            </w:r>
          </w:p>
        </w:tc>
        <w:tc>
          <w:tcPr>
            <w:tcW w:type="dxa" w:w="3402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阈值报警 / 关联报警 / 设备报警 / 通信报警</w:t>
            </w:r>
          </w:p>
        </w:tc>
        <w:tc>
          <w:tcPr>
            <w:tcW w:type="dxa" w:w="4195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详见第 8 章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报警状态</w:t>
            </w:r>
          </w:p>
        </w:tc>
        <w:tc>
          <w:tcPr>
            <w:tcW w:type="dxa" w:w="3402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进行中 / 已恢复</w:t>
            </w:r>
          </w:p>
        </w:tc>
        <w:tc>
          <w:tcPr>
            <w:tcW w:type="dxa" w:w="4195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报警当前所处的处理状态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订单状态</w:t>
            </w:r>
          </w:p>
        </w:tc>
        <w:tc>
          <w:tcPr>
            <w:tcW w:type="dxa" w:w="3402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Draft（已录入）/ Testing（测试中）/ Completed（已完成）/ Cancelled（已取消）</w:t>
            </w:r>
          </w:p>
        </w:tc>
        <w:tc>
          <w:tcPr>
            <w:tcW w:type="dxa" w:w="4195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详见第 5 章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遥测任务状态</w:t>
            </w:r>
          </w:p>
        </w:tc>
        <w:tc>
          <w:tcPr>
            <w:tcW w:type="dxa" w:w="3402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待处理 / 处理中 / 成功 / 失败</w:t>
            </w:r>
          </w:p>
        </w:tc>
        <w:tc>
          <w:tcPr>
            <w:tcW w:type="dxa" w:w="4195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图谱数据处理任务的状态，详见 7.1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物理量</w:t>
            </w:r>
          </w:p>
        </w:tc>
        <w:tc>
          <w:tcPr>
            <w:tcW w:type="dxa" w:w="3402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压力 / 流量 / 温度 / 扭矩 / 振动</w:t>
            </w:r>
          </w:p>
        </w:tc>
        <w:tc>
          <w:tcPr>
            <w:tcW w:type="dxa" w:w="4195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固定 5 个，详见第 6 章</w:t>
            </w:r>
          </w:p>
        </w:tc>
      </w:tr>
    </w:tbl>
    <w:p>
      <w:pPr>
        <w:spacing w:after="0" w:line="240" w:lineRule="auto"/>
        <w:ind w:firstLineChars="0" w:firstLine="0"/>
      </w:pPr>
    </w:p>
    <w:p>
      <w:pPr>
        <w:pStyle w:val="Heading1"/>
        <w:ind w:firstLineChars="0" w:firstLine="0"/>
      </w:pPr>
      <w:bookmarkStart w:id="13" w:name="_LarkToc00013"/>
      <w:r>
        <w:rPr>
          <w:rFonts w:ascii="Times New Roman" w:hAnsi="Times New Roman" w:eastAsia="黑体" w:cs="Times New Roman"/>
          <w:b/>
          <w:color w:val="000000"/>
          <w:sz w:val="32"/>
        </w:rPr>
        <w:t>3 组织单元（车间）管理</w:t>
      </w:r>
      <w:bookmarkEnd w:id="13"/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车间是本平台的组织单元，也是数据权限的边界。车间的建立与维护规则如下。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每个车间对应一个组织单元，并带有车间的业务编码（现有车间：黄岛车间 HD、宁波车间 NB）。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组织树为：公司（青岛儒海船舶股份有限公司）→ 黄岛车间／宁波车间。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每个车间下自动创建三类账号：车间主管、大区负责人、测试工程师，账号命名规则为“车间编码前缀 + 岗位标识”。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全局岗位不隶属车间，包括调度、单船项目主管、质量审核员。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新增车间只需在车间定义中增加一条，该车间的账号与角色自动创建，无需单独配置。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设备、订单、报警都通过所属车间做可见性过滤；订单对管理员和调度额外放开（见 2.4）。</w:t>
      </w:r>
    </w:p>
    <w:p>
      <w:pPr>
        <w:pStyle w:val="Heading1"/>
        <w:ind w:firstLineChars="0" w:firstLine="0"/>
      </w:pPr>
      <w:bookmarkStart w:id="14" w:name="_LarkToc00014"/>
      <w:r>
        <w:rPr>
          <w:rFonts w:ascii="Times New Roman" w:hAnsi="Times New Roman" w:eastAsia="黑体" w:cs="Times New Roman"/>
          <w:b/>
          <w:color w:val="000000"/>
          <w:sz w:val="32"/>
        </w:rPr>
        <w:t>4 设备管理</w:t>
      </w:r>
      <w:bookmarkEnd w:id="14"/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设备管理维护车间测试台台账，下位机上报数据时使用的设备编码在此登记。设备信息包括：设备编码（下位机上报使用，如 HD-FIVA-001）、设备名称（如 FIVA测试台）、设备类型（FIVA、PUMP、ICU、SENSOR）、测试台型号（如 NAB-II-60）、所属车间。</w:t>
      </w: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设备的业务规则如下。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设备编码创建后不可修改；编码重复时报错。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设备列表按当前用户可访问的车间过滤；支持按编码、名称模糊查询，按设备类型筛选，按车间树节点筛选（选中某个车间时包含其下级车间）。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新增、编辑、删除设备仅管理员可操作；非管理员操作用户可访问范围之外车间的设备时，提示“无权操作该车间的设备”。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设备类型选项由平台统一提供，包含类型取值、名称与显示名。</w:t>
      </w: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菜单入口：业务管理 → 车间设备。该页面所有角色可见，数据按所属车间过滤。</w:t>
      </w:r>
    </w:p>
    <w:p>
      <w:pPr>
        <w:pStyle w:val="Heading1"/>
        <w:ind w:firstLineChars="0" w:firstLine="0"/>
      </w:pPr>
      <w:bookmarkStart w:id="15" w:name="_LarkToc00015"/>
      <w:r>
        <w:rPr>
          <w:rFonts w:ascii="Times New Roman" w:hAnsi="Times New Roman" w:eastAsia="黑体" w:cs="Times New Roman"/>
          <w:b/>
          <w:color w:val="000000"/>
          <w:sz w:val="32"/>
        </w:rPr>
        <w:t>5 订单管理</w:t>
      </w:r>
      <w:bookmarkEnd w:id="15"/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订单管理负责订单录入与测试进度管控。订单信息包括：订单号（唯一）、关联设备（测试台，一个订单对应一台设备）、订单状态、实际测试开始时间与实际测试结束时间、单船项目主管、要求车间完成测试时间。</w:t>
      </w: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订单的业务规则如下。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一个订单关联一台设备；同一台设备同时只能有一个“测试中”的订单。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时间校验：结束时间不能早于开始时间；开始时间与结束时间不能为空。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可见性：管理员与调度可查看全部订单；单船项目主管可查看自己作为项目主管的订单；其他角色只能查看所属车间设备的订单。按订单直接访问的入口同样做车间校验（见 2.4）。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订单创建后自动通知：向设备所属车间的车间主管与大区负责人发送站内消息，消息标题带订单号，内容包含设备与要求完成时间。</w:t>
      </w:r>
    </w:p>
    <w:p>
      <w:pPr>
        <w:pStyle w:val="Caption"/>
        <w:ind w:firstLineChars="0" w:firstLine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表8  订单状态流转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2721"/>
        <w:gridCol w:w="4876"/>
      </w:tblGrid>
      <w:tr>
        <w:trPr>
          <w:cantSplit/>
          <w:tblHeader/>
        </w:trPr>
        <w:tc>
          <w:tcPr>
            <w:tcW w:type="dxa" w:w="1474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操作</w:t>
            </w:r>
          </w:p>
        </w:tc>
        <w:tc>
          <w:tcPr>
            <w:tcW w:type="dxa" w:w="2721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状态变化</w:t>
            </w:r>
          </w:p>
        </w:tc>
        <w:tc>
          <w:tcPr>
            <w:tcW w:type="dxa" w:w="4876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说明与约束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修改订单</w:t>
            </w:r>
          </w:p>
        </w:tc>
        <w:tc>
          <w:tcPr>
            <w:tcW w:type="dxa" w:w="2721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仅“已录入（Draft）”可修改</w:t>
            </w:r>
          </w:p>
        </w:tc>
        <w:tc>
          <w:tcPr>
            <w:tcW w:type="dxa" w:w="4876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其他状态的订单不允许修改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开始测试</w:t>
            </w:r>
          </w:p>
        </w:tc>
        <w:tc>
          <w:tcPr>
            <w:tcW w:type="dxa" w:w="2721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Draft → Testing</w:t>
            </w:r>
          </w:p>
        </w:tc>
        <w:tc>
          <w:tcPr>
            <w:tcW w:type="dxa" w:w="4876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开始测试后占用该设备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结束测试</w:t>
            </w:r>
          </w:p>
        </w:tc>
        <w:tc>
          <w:tcPr>
            <w:tcW w:type="dxa" w:w="2721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Testing → Completed</w:t>
            </w:r>
          </w:p>
        </w:tc>
        <w:tc>
          <w:tcPr>
            <w:tcW w:type="dxa" w:w="4876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记录实际测试结束时间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取消订单</w:t>
            </w:r>
          </w:p>
        </w:tc>
        <w:tc>
          <w:tcPr>
            <w:tcW w:type="dxa" w:w="2721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Draft / Testing → Cancelled</w:t>
            </w:r>
          </w:p>
        </w:tc>
        <w:tc>
          <w:tcPr>
            <w:tcW w:type="dxa" w:w="4876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已完成的订单不可取消；测试中取消会记录结束时间</w:t>
            </w:r>
          </w:p>
        </w:tc>
      </w:tr>
    </w:tbl>
    <w:p>
      <w:pPr>
        <w:spacing w:after="0" w:line="240" w:lineRule="auto"/>
        <w:ind w:firstLineChars="0" w:firstLine="0"/>
      </w:pP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各操作的权限如下。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新建、编辑、删除订单：管理员 + 调度。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开始测试、结束测试：管理员 + 车间主管 + 测试工程师。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取消订单：管理员 + 测试工程师。</w:t>
      </w: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菜单入口：业务管理 → 订单管理。</w:t>
      </w:r>
    </w:p>
    <w:p>
      <w:pPr>
        <w:pStyle w:val="Heading1"/>
        <w:ind w:firstLineChars="0" w:firstLine="0"/>
      </w:pPr>
      <w:bookmarkStart w:id="16" w:name="_LarkToc00016"/>
      <w:r>
        <w:rPr>
          <w:rFonts w:ascii="Times New Roman" w:hAnsi="Times New Roman" w:eastAsia="黑体" w:cs="Times New Roman"/>
          <w:b/>
          <w:color w:val="000000"/>
          <w:sz w:val="32"/>
        </w:rPr>
        <w:t>6 阈值管理</w:t>
      </w:r>
      <w:bookmarkEnd w:id="16"/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平台统一管理 5 个物理量，物理量是平台内部的统一标识，遥测数据、阈值规则与报警判定统一使用它。物理量定义如下。</w:t>
      </w:r>
    </w:p>
    <w:p>
      <w:pPr>
        <w:pStyle w:val="Caption"/>
        <w:ind w:firstLineChars="0" w:firstLine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表9  物理量定义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402"/>
      </w:tblGrid>
      <w:tr>
        <w:trPr>
          <w:cantSplit/>
          <w:tblHeader/>
        </w:trPr>
        <w:tc>
          <w:tcPr>
            <w:tcW w:type="dxa" w:w="2268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编码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单位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Pressure</w:t>
            </w:r>
          </w:p>
        </w:tc>
        <w:tc>
          <w:tcPr>
            <w:tcW w:type="dxa" w:w="3402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压力</w:t>
            </w:r>
          </w:p>
        </w:tc>
        <w:tc>
          <w:tcPr>
            <w:tcW w:type="dxa" w:w="3402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MPa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Flow</w:t>
            </w:r>
          </w:p>
        </w:tc>
        <w:tc>
          <w:tcPr>
            <w:tcW w:type="dxa" w:w="3402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流量</w:t>
            </w:r>
          </w:p>
        </w:tc>
        <w:tc>
          <w:tcPr>
            <w:tcW w:type="dxa" w:w="3402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L/min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Temperature</w:t>
            </w:r>
          </w:p>
        </w:tc>
        <w:tc>
          <w:tcPr>
            <w:tcW w:type="dxa" w:w="3402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温度</w:t>
            </w:r>
          </w:p>
        </w:tc>
        <w:tc>
          <w:tcPr>
            <w:tcW w:type="dxa" w:w="3402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℃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Torque</w:t>
            </w:r>
          </w:p>
        </w:tc>
        <w:tc>
          <w:tcPr>
            <w:tcW w:type="dxa" w:w="3402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扭矩</w:t>
            </w:r>
          </w:p>
        </w:tc>
        <w:tc>
          <w:tcPr>
            <w:tcW w:type="dxa" w:w="3402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N·m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Vibration</w:t>
            </w:r>
          </w:p>
        </w:tc>
        <w:tc>
          <w:tcPr>
            <w:tcW w:type="dxa" w:w="3402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振动</w:t>
            </w:r>
          </w:p>
        </w:tc>
        <w:tc>
          <w:tcPr>
            <w:tcW w:type="dxa" w:w="3402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mm/s</w:t>
            </w:r>
          </w:p>
        </w:tc>
      </w:tr>
    </w:tbl>
    <w:p>
      <w:pPr>
        <w:spacing w:after="0" w:line="240" w:lineRule="auto"/>
        <w:ind w:firstLineChars="0" w:firstLine="0"/>
      </w:pP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下位机上报的物理量字符串在数据入口做归一化：不区分大小写，也识别中文名称；无法识别的记入日志并忽略。物理量的单位由平台统一提供，不需要单独维护。</w:t>
      </w: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阈值规则的内容包括：设备类型、物理量、上限阈值（超过视为偏高）、下限阈值（低于视为偏低）、报警内容（人工填写的说明，如“压力偏高”）、是否启用。</w:t>
      </w: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阈值的业务规则如下。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阈值按设备类型配置，同一型号的测试台共用一套阈值，不按单台设备配置。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同一设备类型、同一物理量只能有一套阈值规则。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上限与下限至少填写一个；下限不能大于上限。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上限与下限都留空表示该数据类型不设阈值，保存时删除已有规则，不报错。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某个物理量只有一个方向需要监控时，另一个方向留空即可。</w:t>
      </w: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页面入口：平台管理 → 阈值管理，仅管理员可见、可写。页面顶部选择设备类型，下方固定 5 行（压力、流量、温度、扭矩、振动），每行填写上限、下限、报警内容与是否启用。</w:t>
      </w:r>
    </w:p>
    <w:p>
      <w:pPr>
        <w:pStyle w:val="Heading1"/>
        <w:ind w:firstLineChars="0" w:firstLine="0"/>
      </w:pPr>
      <w:bookmarkStart w:id="17" w:name="_LarkToc00017"/>
      <w:r>
        <w:rPr>
          <w:rFonts w:ascii="Times New Roman" w:hAnsi="Times New Roman" w:eastAsia="黑体" w:cs="Times New Roman"/>
          <w:b/>
          <w:color w:val="000000"/>
          <w:sz w:val="32"/>
        </w:rPr>
        <w:t>7 遥测数据管理</w:t>
      </w:r>
      <w:bookmarkEnd w:id="17"/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平台接收两类遥测数据，二者的归属对象、接入方式与用途都不同，不能混用：图谱数据属于被测设备，由下位机通过文件上传；实时数据属于测试台，由下位机推送。</w:t>
      </w:r>
    </w:p>
    <w:p>
      <w:pPr>
        <w:pStyle w:val="Heading2"/>
        <w:ind w:firstLineChars="0" w:firstLine="0"/>
      </w:pPr>
      <w:bookmarkStart w:id="18" w:name="_LarkToc00018"/>
      <w:r>
        <w:rPr>
          <w:rFonts w:ascii="Times New Roman" w:hAnsi="Times New Roman" w:eastAsia="黑体" w:cs="Times New Roman"/>
          <w:b/>
          <w:color w:val="000000"/>
          <w:sz w:val="28"/>
        </w:rPr>
        <w:t>7.1 图谱数据（被测设备，文件上传）</w:t>
      </w:r>
      <w:bookmarkEnd w:id="18"/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下位机上传 CSV 文件，文件内容只有 index 与 value 两列，index 从 0 连续递增，单个文件上限 100 万采样点；同时上传一组参数，包括设备编码、通道类型、文件时间、测试信息（开始时间、结束时间、开始时间 2、结束时间 2、测试日期）、被测设备信息、船名、测试人等。</w:t>
      </w: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平台的处理规则如下。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每次上传生成一个遥测任务，状态为“待处理 → 处理中 → 成功／失败”，任务包含重试次数与下次重试时间。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后台自动认领待处理任务，解析文件并把波形数据写入平台时序数据；处理失败的任务按重试策略重试。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一条图谱数据由设备、时间、通道类型共同确定，值为波形数组，时间取自文件时间。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订单归属：图谱数据按订单的实际测试开始时间与结束时间匹配归属订单，匹配容差可配置（默认 0）；没有归属到订单的数据视为非法数据。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保留策略：遥测任务与原始文件按保留期配置到期清理，保留期当前为 3 年（1095 天，可配置），由清理任务执行；清理任务不删除已入库的时序数据，时序数据的保留与压缩策略见“其他”模块第 1 项。</w:t>
      </w:r>
    </w:p>
    <w:p>
      <w:pPr>
        <w:pStyle w:val="Heading2"/>
        <w:ind w:firstLineChars="0" w:firstLine="0"/>
      </w:pPr>
      <w:bookmarkStart w:id="19" w:name="_LarkToc00019"/>
      <w:r>
        <w:rPr>
          <w:rFonts w:ascii="Times New Roman" w:hAnsi="Times New Roman" w:eastAsia="黑体" w:cs="Times New Roman"/>
          <w:b/>
          <w:color w:val="000000"/>
          <w:sz w:val="28"/>
        </w:rPr>
        <w:t>7.2 实时数据（测试台，下位机推送）</w:t>
      </w:r>
      <w:bookmarkEnd w:id="19"/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实时数据由下位机（测试台）主动推送。一行数据代表一台测试台的一次推送，多个物理量是同一行的多列；实时数据不含被测设备信息，报警主体是测试台。</w:t>
      </w: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实时数据的内容包括：测试台（设备编码）、采集时间、压力、流量、温度、扭矩、振动（采集不到时为空）、急停标志（true 表示急停）、服务器接收时间（由平台记录，不由下位机上传）。</w:t>
      </w: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接收规则如下。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采集时间为本地时间；上报值不带时区时按服务器本地时间处理。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物理量为键值对形式，键不区分大小写，也识别中文名称；无法识别的键记入日志并忽略，不影响同一帧的其他物理量。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采集不到的物理量不传，对应数值为空。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同一（测试台，时间）重复推送时，以最后一次推送为准。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设备编码必须是已登记设备，否则返回“未知设备编码”。</w:t>
      </w: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实时数据是阈值报警与设备报警判定的输入，判定规则见第 8 章。实时数据的页面展示方案（页面载体、展示维度、刷新或推送频率）见“其他”模块第 2 项。</w:t>
      </w:r>
    </w:p>
    <w:p>
      <w:pPr>
        <w:pStyle w:val="Heading1"/>
        <w:ind w:firstLineChars="0" w:firstLine="0"/>
      </w:pPr>
      <w:bookmarkStart w:id="20" w:name="_LarkToc00020"/>
      <w:r>
        <w:rPr>
          <w:rFonts w:ascii="Times New Roman" w:hAnsi="Times New Roman" w:eastAsia="黑体" w:cs="Times New Roman"/>
          <w:b/>
          <w:color w:val="000000"/>
          <w:sz w:val="32"/>
        </w:rPr>
        <w:t>8 报警管理</w:t>
      </w:r>
      <w:bookmarkEnd w:id="20"/>
    </w:p>
    <w:p>
      <w:pPr>
        <w:pStyle w:val="Heading2"/>
        <w:ind w:firstLineChars="0" w:firstLine="0"/>
      </w:pPr>
      <w:bookmarkStart w:id="21" w:name="_LarkToc00021"/>
      <w:r>
        <w:rPr>
          <w:rFonts w:ascii="Times New Roman" w:hAnsi="Times New Roman" w:eastAsia="黑体" w:cs="Times New Roman"/>
          <w:b/>
          <w:color w:val="000000"/>
          <w:sz w:val="28"/>
        </w:rPr>
        <w:t>8.1 报警分类</w:t>
      </w:r>
      <w:bookmarkEnd w:id="21"/>
    </w:p>
    <w:p>
      <w:pPr>
        <w:pStyle w:val="Caption"/>
        <w:ind w:firstLineChars="0" w:firstLine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表10  报警分类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rPr>
          <w:cantSplit/>
          <w:tblHeader/>
        </w:trPr>
        <w:tc>
          <w:tcPr>
            <w:tcW w:type="dxa" w:w="1701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报警类型</w:t>
            </w:r>
          </w:p>
        </w:tc>
        <w:tc>
          <w:tcPr>
            <w:tcW w:type="dxa" w:w="7370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判定依据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阈值报警</w:t>
            </w:r>
          </w:p>
        </w:tc>
        <w:tc>
          <w:tcPr>
            <w:tcW w:type="dxa" w:w="7370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实时值超出该设备类型、该物理量配置的阈值上下限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关联报警</w:t>
            </w:r>
          </w:p>
        </w:tc>
        <w:tc>
          <w:tcPr>
            <w:tcW w:type="dxa" w:w="7370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跨参数的关联判定：由换算公式给出“正常范围”，判断实际物理量是否在该范围内（公式待需求方提供，暂未实现）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设备报警</w:t>
            </w:r>
          </w:p>
        </w:tc>
        <w:tc>
          <w:tcPr>
            <w:tcW w:type="dxa" w:w="7370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传感器数值异常（数值超出阈值上下限）；测试台急停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通信报警</w:t>
            </w:r>
          </w:p>
        </w:tc>
        <w:tc>
          <w:tcPr>
            <w:tcW w:type="dxa" w:w="7370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心跳间隔超过超时阈值（当前为 5 分钟）</w:t>
            </w:r>
          </w:p>
        </w:tc>
      </w:tr>
    </w:tbl>
    <w:p>
      <w:pPr>
        <w:spacing w:after="0" w:line="240" w:lineRule="auto"/>
        <w:ind w:firstLineChars="0" w:firstLine="0"/>
      </w:pPr>
    </w:p>
    <w:p>
      <w:pPr>
        <w:pStyle w:val="Heading2"/>
        <w:ind w:firstLineChars="0" w:firstLine="0"/>
      </w:pPr>
      <w:bookmarkStart w:id="22" w:name="_LarkToc00022"/>
      <w:r>
        <w:rPr>
          <w:rFonts w:ascii="Times New Roman" w:hAnsi="Times New Roman" w:eastAsia="黑体" w:cs="Times New Roman"/>
          <w:b/>
          <w:color w:val="000000"/>
          <w:sz w:val="28"/>
        </w:rPr>
        <w:t>8.2 报警信息与状态</w:t>
      </w:r>
      <w:bookmarkEnd w:id="22"/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报警主体是测试台，不是被测设备。报警信息包括：报警类型、报警主体（测试台）、所属车间（报警可见性按此过滤）、物理量（通信报警不区分物理量，为空）、报警内容、成立时间（升级时长从成立时间起算）、已通知级别、最近一次通知时间、报警状态（进行中／已恢复）与恢复时间。</w:t>
      </w: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报警的唯一性约束：同一（报警类型、测试台、物理量）同时只允许存在一条进行中的报警。</w:t>
      </w:r>
    </w:p>
    <w:p>
      <w:pPr>
        <w:pStyle w:val="Heading2"/>
        <w:ind w:firstLineChars="0" w:firstLine="0"/>
      </w:pPr>
      <w:bookmarkStart w:id="23" w:name="_LarkToc00023"/>
      <w:r>
        <w:rPr>
          <w:rFonts w:ascii="Times New Roman" w:hAnsi="Times New Roman" w:eastAsia="黑体" w:cs="Times New Roman"/>
          <w:b/>
          <w:color w:val="000000"/>
          <w:sz w:val="28"/>
        </w:rPr>
        <w:t>8.3 报警的成立、升级与恢复</w:t>
      </w:r>
      <w:bookmarkEnd w:id="23"/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成立：判定条件满足即报警“成立”，成立时间取条件开始的时间——实时数据取该帧的采集时间，通信报警取最后一次心跳时间。</w:t>
      </w: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逐级升级：所有报警类型共用一套升级规则，按报警持续时间逐级通知，收件人范围逐级扩大。</w:t>
      </w:r>
    </w:p>
    <w:p>
      <w:pPr>
        <w:pStyle w:val="Caption"/>
        <w:ind w:firstLineChars="0" w:firstLine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表11  报警升级通知范围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rPr>
          <w:cantSplit/>
          <w:tblHeader/>
        </w:trPr>
        <w:tc>
          <w:tcPr>
            <w:tcW w:type="dxa" w:w="2551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报警持续时间</w:t>
            </w:r>
          </w:p>
        </w:tc>
        <w:tc>
          <w:tcPr>
            <w:tcW w:type="dxa" w:w="6520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通知对象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持续 ≥ 5 分钟</w:t>
            </w:r>
          </w:p>
        </w:tc>
        <w:tc>
          <w:tcPr>
            <w:tcW w:type="dxa" w:w="6520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车间测试工程师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持续 ≥ 10 分钟</w:t>
            </w:r>
          </w:p>
        </w:tc>
        <w:tc>
          <w:tcPr>
            <w:tcW w:type="dxa" w:w="6520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测试工程师 + 车间主管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持续 ≥ 20 分钟</w:t>
            </w:r>
          </w:p>
        </w:tc>
        <w:tc>
          <w:tcPr>
            <w:tcW w:type="dxa" w:w="6520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测试工程师 + 车间主管 + 系统管理员</w:t>
            </w:r>
          </w:p>
        </w:tc>
      </w:tr>
    </w:tbl>
    <w:p>
      <w:pPr>
        <w:spacing w:after="0" w:line="240" w:lineRule="auto"/>
        <w:ind w:firstLineChars="0" w:firstLine="0"/>
      </w:pP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收件人是累加的：测试工程师在第 1、2、3 级各收到一条通知，起到催办作用。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每级只通知一次，不会重复刷屏。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条件持续 5 分钟才发出第一级通知，不是一触发就发送。</w:t>
      </w: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恢复：条件不再满足时，报警置为“已恢复”并记录恢复时间。恢复消息目前只有通信报警发送；数据类报警（阈值报警、设备报警）的恢复状态在报警管理列表中查看，是否需要发送恢复消息见“报警”模块第 2 项。</w:t>
      </w:r>
    </w:p>
    <w:p>
      <w:pPr>
        <w:pStyle w:val="Heading2"/>
        <w:ind w:firstLineChars="0" w:firstLine="0"/>
      </w:pPr>
      <w:bookmarkStart w:id="24" w:name="_LarkToc00024"/>
      <w:r>
        <w:rPr>
          <w:rFonts w:ascii="Times New Roman" w:hAnsi="Times New Roman" w:eastAsia="黑体" w:cs="Times New Roman"/>
          <w:b/>
          <w:color w:val="000000"/>
          <w:sz w:val="28"/>
        </w:rPr>
        <w:t>8.4 各类报警的产生方式</w:t>
      </w:r>
      <w:bookmarkEnd w:id="24"/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阈值报警与设备报警：实时值超出阈值上下限时，同一个条件同时产生两条报警——一条阈值报警（内容取自阈值配置，如“压力偏高”），一条设备报警（内容如“压力数值异常”）；两条报警各自独立升级与恢复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测试台急停：实时数据中急停标志为 true 时产生一条设备报警（内容为“测试台急停”）；急停恢复后自动清除。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通信报警：设备最后一次心跳距当前时间超过超时阈值即成立，并逐级升级；恢复时发送一条“通信报警已恢复”消息。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关联报警：判定公式待确认（见 Q8），暂未实现。</w:t>
      </w:r>
    </w:p>
    <w:p>
      <w:pPr>
        <w:pStyle w:val="Heading2"/>
        <w:ind w:firstLineChars="0" w:firstLine="0"/>
      </w:pPr>
      <w:bookmarkStart w:id="25" w:name="_LarkToc00025"/>
      <w:r>
        <w:rPr>
          <w:rFonts w:ascii="Times New Roman" w:hAnsi="Times New Roman" w:eastAsia="黑体" w:cs="Times New Roman"/>
          <w:b/>
          <w:color w:val="000000"/>
          <w:sz w:val="28"/>
        </w:rPr>
        <w:t>8.5 可见性与通知</w:t>
      </w:r>
      <w:bookmarkEnd w:id="25"/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报警列表按当前用户所属车间过滤，与设备管理同一套规则；管理员不受限，调度在本模块没有豁免（见 2.4）。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报警消息通过站内消息推送给对应角色的用户，消息发送人为系统身份。</w:t>
      </w: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页面入口：业务管理 → 报警管理，页面区分“进行中”与“已恢复”，数据按车间可见。</w:t>
      </w:r>
    </w:p>
    <w:p>
      <w:pPr>
        <w:pStyle w:val="Heading1"/>
        <w:ind w:firstLineChars="0" w:firstLine="0"/>
      </w:pPr>
      <w:bookmarkStart w:id="26" w:name="_LarkToc00026"/>
      <w:r>
        <w:rPr>
          <w:rFonts w:ascii="Times New Roman" w:hAnsi="Times New Roman" w:eastAsia="黑体" w:cs="Times New Roman"/>
          <w:b/>
          <w:color w:val="000000"/>
          <w:sz w:val="32"/>
        </w:rPr>
        <w:t>9 消息与通告</w:t>
      </w:r>
      <w:bookmarkEnd w:id="26"/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站内消息是报警通知与订单通知的投递通道，每个接收人一条记录，可以标记已读或未读，并实时推送到客户端。消息有类型（普通／广播）与级别（警告／普通／错误）。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平台管理 → 消息管理：可按标题、内容、级别、已读状态、接收人筛选；支持设为已读、批量已读、删除，以及发送消息（发送人记录为当前登录用户）。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平台管理 → 通告管理：广播消息的发送与管理。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业务管理 → 我的消息／我的通告：展示当前用户自己的消息与通告，消息在前，通告在后。</w:t>
      </w:r>
    </w:p>
    <w:p>
      <w:pPr>
        <w:pStyle w:val="Heading1"/>
        <w:ind w:firstLineChars="0" w:firstLine="0"/>
      </w:pPr>
      <w:bookmarkStart w:id="27" w:name="_LarkToc00027"/>
      <w:r>
        <w:rPr>
          <w:rFonts w:ascii="Times New Roman" w:hAnsi="Times New Roman" w:eastAsia="黑体" w:cs="Times New Roman"/>
          <w:b/>
          <w:color w:val="000000"/>
          <w:sz w:val="32"/>
        </w:rPr>
        <w:t>10 报告管理（规划中，尚未实现）</w:t>
      </w:r>
      <w:bookmarkEnd w:id="27"/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外部系统按订单号提供订单报告，一单一报告，对方审核完成后不可修改；平台定时轮询获取，审核通过后可下载。报告状态机暂定为：待获取 → 已获取待审核 → 审核通过（可下载）／审核驳回；另设“已停止自动获取”状态，用于长期拿不到报告的情况，此时只能由人工触发“立即获取”。</w:t>
      </w: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暂定做法：报告审核为一次审核（质量审核员）；轮询频率为每天一次，上限 30 天（或 60 次）。本节功能尚未实现，相关待确认问题见第 1.1 节“报告管理”模块第 1–7 项。</w:t>
      </w:r>
    </w:p>
    <w:p>
      <w:pPr>
        <w:pStyle w:val="Heading1"/>
        <w:ind w:firstLineChars="0" w:firstLine="0"/>
      </w:pPr>
      <w:bookmarkStart w:id="28" w:name="_LarkToc00028"/>
      <w:r>
        <w:rPr>
          <w:rFonts w:ascii="Times New Roman" w:hAnsi="Times New Roman" w:eastAsia="黑体" w:cs="Times New Roman"/>
          <w:b/>
          <w:color w:val="000000"/>
          <w:sz w:val="32"/>
        </w:rPr>
        <w:t>11 系统自动处理任务</w:t>
      </w:r>
      <w:bookmarkEnd w:id="28"/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平台包含以下自动处理任务，无需人工干预。</w:t>
      </w:r>
    </w:p>
    <w:p>
      <w:pPr>
        <w:pStyle w:val="Caption"/>
        <w:ind w:firstLineChars="0" w:firstLine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表12  系统自动处理任务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020"/>
        <w:gridCol w:w="6350"/>
      </w:tblGrid>
      <w:tr>
        <w:trPr>
          <w:cantSplit/>
          <w:tblHeader/>
        </w:trPr>
        <w:tc>
          <w:tcPr>
            <w:tcW w:type="dxa" w:w="1701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任务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周期</w:t>
            </w:r>
          </w:p>
        </w:tc>
        <w:tc>
          <w:tcPr>
            <w:tcW w:type="dxa" w:w="6350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职责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遥测处理</w:t>
            </w:r>
          </w:p>
        </w:tc>
        <w:tc>
          <w:tcPr>
            <w:tcW w:type="dxa" w:w="1020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5 秒</w:t>
            </w:r>
          </w:p>
        </w:tc>
        <w:tc>
          <w:tcPr>
            <w:tcW w:type="dxa" w:w="6350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认领待处理的遥测任务，解析文件并写入时序数据，标记成功或失败；处理中超过 10 分钟视为卡死并恢复为待处理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遥测文件清理</w:t>
            </w:r>
          </w:p>
        </w:tc>
        <w:tc>
          <w:tcPr>
            <w:tcW w:type="dxa" w:w="1020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60 分钟</w:t>
            </w:r>
          </w:p>
        </w:tc>
        <w:tc>
          <w:tcPr>
            <w:tcW w:type="dxa" w:w="6350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清理到期的遥测任务与原始文件（保留期当前为 3 年，即 1095 天，可配置），不删除已入库的时序数据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日志清理</w:t>
            </w:r>
          </w:p>
        </w:tc>
        <w:tc>
          <w:tcPr>
            <w:tcW w:type="dxa" w:w="1020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24 小时</w:t>
            </w:r>
          </w:p>
        </w:tc>
        <w:tc>
          <w:tcPr>
            <w:tcW w:type="dxa" w:w="6350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清理 365 天前的审计日志与安全日志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设备心跳监控</w:t>
            </w:r>
          </w:p>
        </w:tc>
        <w:tc>
          <w:tcPr>
            <w:tcW w:type="dxa" w:w="1020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 分钟</w:t>
            </w:r>
          </w:p>
        </w:tc>
        <w:tc>
          <w:tcPr>
            <w:tcW w:type="dxa" w:w="6350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读取设备心跳，把“断线／恢复”同步为通信报警（本任务不发送通知）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报警升级</w:t>
            </w:r>
          </w:p>
        </w:tc>
        <w:tc>
          <w:tcPr>
            <w:tcW w:type="dxa" w:w="1020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 分钟</w:t>
            </w:r>
          </w:p>
        </w:tc>
        <w:tc>
          <w:tcPr>
            <w:tcW w:type="dxa" w:w="6350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扫描进行中的报警，按持续时间 5／10／20 分钟逐级通知；所有报警类型共用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阈值报警判定</w:t>
            </w:r>
          </w:p>
        </w:tc>
        <w:tc>
          <w:tcPr>
            <w:tcW w:type="dxa" w:w="1020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 分钟</w:t>
            </w:r>
          </w:p>
        </w:tc>
        <w:tc>
          <w:tcPr>
            <w:tcW w:type="dxa" w:w="6350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取每台测试台最新一帧实时数据，按阈值规则判定阈值报警与设备报警</w:t>
            </w:r>
          </w:p>
        </w:tc>
      </w:tr>
    </w:tbl>
    <w:p>
      <w:pPr>
        <w:spacing w:after="0" w:line="240" w:lineRule="auto"/>
        <w:ind w:firstLineChars="0" w:firstLine="0"/>
      </w:pPr>
    </w:p>
    <w:p>
      <w:pPr>
        <w:pStyle w:val="Heading1"/>
        <w:ind w:firstLineChars="0" w:firstLine="0"/>
      </w:pPr>
      <w:bookmarkStart w:id="29" w:name="_LarkToc00029"/>
      <w:r>
        <w:rPr>
          <w:rFonts w:ascii="Times New Roman" w:hAnsi="Times New Roman" w:eastAsia="黑体" w:cs="Times New Roman"/>
          <w:b/>
          <w:color w:val="000000"/>
          <w:sz w:val="32"/>
        </w:rPr>
        <w:t>12 菜单与页面清单</w:t>
      </w:r>
      <w:bookmarkEnd w:id="29"/>
    </w:p>
    <w:p>
      <w:pPr>
        <w:pStyle w:val="Caption"/>
        <w:ind w:firstLineChars="0" w:firstLine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表13  菜单与页面清单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2494"/>
        <w:gridCol w:w="5102"/>
      </w:tblGrid>
      <w:tr>
        <w:trPr>
          <w:cantSplit/>
          <w:tblHeader/>
        </w:trPr>
        <w:tc>
          <w:tcPr>
            <w:tcW w:type="dxa" w:w="1474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一级菜单</w:t>
            </w:r>
          </w:p>
        </w:tc>
        <w:tc>
          <w:tcPr>
            <w:tcW w:type="dxa" w:w="2494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页面</w:t>
            </w:r>
          </w:p>
        </w:tc>
        <w:tc>
          <w:tcPr>
            <w:tcW w:type="dxa" w:w="5102"/>
            <w:shd w:val="clear" w:color="auto" w:fill="D9D9D9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可见与可操作范围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业务管理</w:t>
            </w:r>
          </w:p>
        </w:tc>
        <w:tc>
          <w:tcPr>
            <w:tcW w:type="dxa" w:w="2494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车间设备</w:t>
            </w:r>
          </w:p>
        </w:tc>
        <w:tc>
          <w:tcPr>
            <w:tcW w:type="dxa" w:w="5102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所有角色可见，数据按所属车间过滤；新增、编辑、删除仅管理员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业务管理</w:t>
            </w:r>
          </w:p>
        </w:tc>
        <w:tc>
          <w:tcPr>
            <w:tcW w:type="dxa" w:w="2494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订单管理</w:t>
            </w:r>
          </w:p>
        </w:tc>
        <w:tc>
          <w:tcPr>
            <w:tcW w:type="dxa" w:w="5102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管理员与调度可见全部，其他角色见所属车间设备的订单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业务管理</w:t>
            </w:r>
          </w:p>
        </w:tc>
        <w:tc>
          <w:tcPr>
            <w:tcW w:type="dxa" w:w="2494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报警管理</w:t>
            </w:r>
          </w:p>
        </w:tc>
        <w:tc>
          <w:tcPr>
            <w:tcW w:type="dxa" w:w="5102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按所属车间可见，区分进行中与已恢复；管理员不受限，调度无豁免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业务管理</w:t>
            </w:r>
          </w:p>
        </w:tc>
        <w:tc>
          <w:tcPr>
            <w:tcW w:type="dxa" w:w="2494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我的消息／我的通告</w:t>
            </w:r>
          </w:p>
        </w:tc>
        <w:tc>
          <w:tcPr>
            <w:tcW w:type="dxa" w:w="5102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当前用户自己的消息与通告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平台管理</w:t>
            </w:r>
          </w:p>
        </w:tc>
        <w:tc>
          <w:tcPr>
            <w:tcW w:type="dxa" w:w="2494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阈值管理</w:t>
            </w:r>
          </w:p>
        </w:tc>
        <w:tc>
          <w:tcPr>
            <w:tcW w:type="dxa" w:w="5102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仅管理员可见、可写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平台管理</w:t>
            </w:r>
          </w:p>
        </w:tc>
        <w:tc>
          <w:tcPr>
            <w:tcW w:type="dxa" w:w="2494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消息管理</w:t>
            </w:r>
          </w:p>
        </w:tc>
        <w:tc>
          <w:tcPr>
            <w:tcW w:type="dxa" w:w="5102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消息的查询、已读、删除与发送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表格文字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平台管理</w:t>
            </w:r>
          </w:p>
        </w:tc>
        <w:tc>
          <w:tcPr>
            <w:tcW w:type="dxa" w:w="2494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通告管理</w:t>
            </w:r>
          </w:p>
        </w:tc>
        <w:tc>
          <w:tcPr>
            <w:tcW w:type="dxa" w:w="5102"/>
            <w:vAlign w:val="center"/>
          </w:tcPr>
          <w:p>
            <w:pPr>
              <w:pStyle w:val="表格文字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广播消息的发送与管理</w:t>
            </w:r>
          </w:p>
        </w:tc>
      </w:tr>
    </w:tbl>
    <w:p>
      <w:pPr>
        <w:spacing w:after="0" w:line="240" w:lineRule="auto"/>
        <w:ind w:firstLineChars="0" w:firstLine="0"/>
      </w:pPr>
    </w:p>
    <w:p>
      <w:pPr>
        <w:pStyle w:val="Heading1"/>
        <w:ind w:firstLineChars="0" w:firstLine="0"/>
      </w:pPr>
      <w:bookmarkStart w:id="30" w:name="_LarkToc00030"/>
      <w:r>
        <w:rPr>
          <w:rFonts w:ascii="Times New Roman" w:hAnsi="Times New Roman" w:eastAsia="黑体" w:cs="Times New Roman"/>
          <w:b/>
          <w:color w:val="000000"/>
          <w:sz w:val="32"/>
        </w:rPr>
        <w:t>13 关键业务约定</w:t>
      </w:r>
      <w:bookmarkEnd w:id="30"/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车间是数据权限边界，设备、订单、报警三个模块共用一份实现：默认“管理员看全部，其他角色按所属车间”，订单模块额外放开调度（见 2.4）。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报警主体是测试台，不是被测设备。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两类遥测数据不能混：图谱数据属于被测设备（文件上传），实时数据属于测试台（下位机推送）。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时间是本地时间，只有时间戳字段统一按 UTC 存储。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报警每级只通知一次，收件人范围逐级扩大且累加。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报警条件持续 5 分钟才发出第一级通知。</w:t>
      </w:r>
    </w:p>
    <w:p>
      <w:pPr>
        <w:pStyle w:val="ListBullet"/>
        <w:spacing w:line="360" w:lineRule="auto"/>
        <w:ind w:firstLine="0" w:firstLineChars="0" w:left="4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物理量固定 5 个，使用统一编码，下位机上报的字符串在数据入口归一化。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850" w:footer="85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ind w:firstLineChars="0" w:firstLine="0"/>
    </w:pPr>
    <w:r>
      <w:rPr>
        <w:rFonts w:ascii="Times New Roman" w:hAnsi="Times New Roman" w:eastAsia="宋体" w:cs="Times New Roman"/>
        <w:b w:val="0"/>
        <w:color w:val="00000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f5bbbec3f76fd4c9af0d1ee106a1284176c55949cec14a5be44b114418ac19f8:c12476e1096b82337a2460e1b807353427d5664ecbadb52a377b854bef0f9bb1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Times New Roman" w:hAnsi="Times New Roman" w:eastAsia="宋体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360" w:lineRule="auto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360" w:lineRule="auto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36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宋体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表格文字">
    <w:name w:val="表格文字"/>
    <w:basedOn w:val="Normal"/>
    <w:pPr>
      <w:spacing w:line="240" w:lineRule="auto" w:before="20" w:after="20"/>
      <w:ind w:firstLine="0" w:left="0" w:right="0"/>
      <w:jc w:val="left"/>
    </w:pPr>
    <w:rPr>
      <w:rFonts w:ascii="Times New Roman" w:hAnsi="Times New Roman" w:eastAsia="宋体"/>
      <w:color w:val="000000"/>
      <w:sz w:val="21"/>
    </w:r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