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5"/>
        <w:gridCol w:w="2812"/>
        <w:gridCol w:w="1573"/>
        <w:gridCol w:w="1426"/>
      </w:tblGrid>
      <w:tr w:rsidR="00267B12" w:rsidTr="004572F2">
        <w:tc>
          <w:tcPr>
            <w:tcW w:w="2518" w:type="dxa"/>
          </w:tcPr>
          <w:p w:rsidR="00267B12" w:rsidRPr="009C71F6" w:rsidRDefault="002B16BD" w:rsidP="004572F2">
            <w:pPr>
              <w:pStyle w:val="Heading3"/>
              <w:spacing w:after="120"/>
              <w:outlineLvl w:val="2"/>
            </w:pPr>
            <w:r>
              <w:t xml:space="preserve"> </w:t>
            </w:r>
            <w:r w:rsidR="00267B12" w:rsidRPr="009C71F6">
              <w:t>Project/</w:t>
            </w:r>
            <w:r w:rsidR="00267B12">
              <w:t>Tranche/</w:t>
            </w:r>
            <w:r w:rsidR="00267B12" w:rsidRPr="009C71F6">
              <w:t>Programme name</w:t>
            </w:r>
          </w:p>
        </w:tc>
        <w:tc>
          <w:tcPr>
            <w:tcW w:w="6724" w:type="dxa"/>
            <w:gridSpan w:val="3"/>
          </w:tcPr>
          <w:p w:rsidR="00267B12" w:rsidRPr="004B038F" w:rsidRDefault="00267B12" w:rsidP="004572F2">
            <w:pPr>
              <w:spacing w:before="200"/>
              <w:rPr>
                <w:i/>
              </w:rPr>
            </w:pPr>
          </w:p>
        </w:tc>
      </w:tr>
      <w:tr w:rsidR="00267B12" w:rsidTr="004572F2">
        <w:tc>
          <w:tcPr>
            <w:tcW w:w="2518" w:type="dxa"/>
          </w:tcPr>
          <w:p w:rsidR="00267B12" w:rsidRPr="009C71F6" w:rsidRDefault="00267B12" w:rsidP="004572F2">
            <w:pPr>
              <w:pStyle w:val="Heading3"/>
              <w:outlineLvl w:val="2"/>
            </w:pPr>
            <w:r w:rsidRPr="009C71F6">
              <w:t>Date:</w:t>
            </w:r>
          </w:p>
        </w:tc>
        <w:tc>
          <w:tcPr>
            <w:tcW w:w="6724" w:type="dxa"/>
            <w:gridSpan w:val="3"/>
          </w:tcPr>
          <w:p w:rsidR="00267B12" w:rsidRDefault="00267B12" w:rsidP="004572F2">
            <w:pPr>
              <w:spacing w:afterLines="120" w:after="288"/>
              <w:rPr>
                <w:rFonts w:asciiTheme="majorHAnsi" w:eastAsiaTheme="majorEastAsia" w:hAnsiTheme="majorHAnsi" w:cstheme="majorBidi"/>
                <w:b/>
                <w:bCs/>
                <w:color w:val="4F81BD" w:themeColor="accent1"/>
                <w:sz w:val="26"/>
                <w:szCs w:val="26"/>
              </w:rPr>
            </w:pPr>
          </w:p>
        </w:tc>
      </w:tr>
      <w:tr w:rsidR="00267B12" w:rsidTr="004572F2">
        <w:tc>
          <w:tcPr>
            <w:tcW w:w="2518" w:type="dxa"/>
          </w:tcPr>
          <w:p w:rsidR="00267B12" w:rsidRPr="009C71F6" w:rsidRDefault="00267B12" w:rsidP="004572F2">
            <w:pPr>
              <w:pStyle w:val="Heading3"/>
              <w:outlineLvl w:val="2"/>
            </w:pPr>
            <w:r>
              <w:t>Author:</w:t>
            </w:r>
          </w:p>
        </w:tc>
        <w:tc>
          <w:tcPr>
            <w:tcW w:w="6724" w:type="dxa"/>
            <w:gridSpan w:val="3"/>
          </w:tcPr>
          <w:p w:rsidR="00267B12" w:rsidRDefault="00267B12" w:rsidP="004572F2">
            <w:pPr>
              <w:spacing w:afterLines="120" w:after="288"/>
              <w:rPr>
                <w:rFonts w:asciiTheme="majorHAnsi" w:eastAsiaTheme="majorEastAsia" w:hAnsiTheme="majorHAnsi" w:cstheme="majorBidi"/>
                <w:b/>
                <w:bCs/>
                <w:color w:val="4F81BD" w:themeColor="accent1"/>
                <w:sz w:val="26"/>
                <w:szCs w:val="26"/>
              </w:rPr>
            </w:pPr>
          </w:p>
        </w:tc>
      </w:tr>
      <w:tr w:rsidR="00267B12" w:rsidTr="004572F2">
        <w:tc>
          <w:tcPr>
            <w:tcW w:w="2518" w:type="dxa"/>
          </w:tcPr>
          <w:p w:rsidR="00267B12" w:rsidRPr="009C71F6" w:rsidRDefault="00267B12" w:rsidP="004572F2">
            <w:pPr>
              <w:pStyle w:val="Heading3"/>
              <w:outlineLvl w:val="2"/>
            </w:pPr>
            <w:r>
              <w:t>Document reference:</w:t>
            </w:r>
          </w:p>
        </w:tc>
        <w:tc>
          <w:tcPr>
            <w:tcW w:w="3362" w:type="dxa"/>
          </w:tcPr>
          <w:p w:rsidR="00267B12" w:rsidRDefault="00267B12" w:rsidP="004572F2">
            <w:pPr>
              <w:spacing w:afterLines="120" w:after="288"/>
              <w:rPr>
                <w:rFonts w:asciiTheme="majorHAnsi" w:eastAsiaTheme="majorEastAsia" w:hAnsiTheme="majorHAnsi" w:cstheme="majorBidi"/>
                <w:b/>
                <w:bCs/>
                <w:color w:val="4F81BD" w:themeColor="accent1"/>
                <w:sz w:val="26"/>
                <w:szCs w:val="26"/>
              </w:rPr>
            </w:pPr>
          </w:p>
        </w:tc>
        <w:tc>
          <w:tcPr>
            <w:tcW w:w="1681" w:type="dxa"/>
          </w:tcPr>
          <w:p w:rsidR="00267B12" w:rsidRDefault="00267B12" w:rsidP="004572F2">
            <w:pPr>
              <w:pStyle w:val="Heading3"/>
              <w:outlineLvl w:val="2"/>
            </w:pPr>
            <w:r>
              <w:t>Version:</w:t>
            </w:r>
          </w:p>
        </w:tc>
        <w:tc>
          <w:tcPr>
            <w:tcW w:w="1681" w:type="dxa"/>
          </w:tcPr>
          <w:p w:rsidR="00267B12" w:rsidRDefault="00267B12" w:rsidP="004572F2">
            <w:pPr>
              <w:spacing w:afterLines="120" w:after="288"/>
              <w:rPr>
                <w:rFonts w:asciiTheme="majorHAnsi" w:eastAsiaTheme="majorEastAsia" w:hAnsiTheme="majorHAnsi" w:cstheme="majorBidi"/>
                <w:b/>
                <w:bCs/>
                <w:color w:val="4F81BD" w:themeColor="accent1"/>
                <w:sz w:val="26"/>
                <w:szCs w:val="26"/>
              </w:rPr>
            </w:pPr>
          </w:p>
        </w:tc>
      </w:tr>
    </w:tbl>
    <w:p w:rsidR="00267B12" w:rsidRDefault="00267B12" w:rsidP="00267B12"/>
    <w:p w:rsidR="00267B12" w:rsidRDefault="00267B12" w:rsidP="00267B12">
      <w:pPr>
        <w:pStyle w:val="Heading2"/>
      </w:pPr>
      <w:r>
        <w:t>Revision History</w:t>
      </w:r>
    </w:p>
    <w:p w:rsidR="00267B12" w:rsidRPr="009060CE" w:rsidRDefault="00267B12" w:rsidP="00267B12">
      <w:pPr>
        <w:pStyle w:val="NoSpacing"/>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96"/>
        <w:gridCol w:w="5650"/>
        <w:gridCol w:w="1870"/>
      </w:tblGrid>
      <w:tr w:rsidR="00267B12" w:rsidTr="004572F2">
        <w:tc>
          <w:tcPr>
            <w:tcW w:w="1526" w:type="dxa"/>
            <w:shd w:val="clear" w:color="auto" w:fill="F2F2F2" w:themeFill="background1" w:themeFillShade="F2"/>
          </w:tcPr>
          <w:p w:rsidR="00267B12" w:rsidRPr="009C71F6" w:rsidRDefault="00267B12" w:rsidP="004572F2">
            <w:pPr>
              <w:jc w:val="center"/>
            </w:pPr>
            <w:r>
              <w:t>Date</w:t>
            </w:r>
          </w:p>
        </w:tc>
        <w:tc>
          <w:tcPr>
            <w:tcW w:w="5812" w:type="dxa"/>
            <w:shd w:val="clear" w:color="auto" w:fill="F2F2F2" w:themeFill="background1" w:themeFillShade="F2"/>
          </w:tcPr>
          <w:p w:rsidR="00267B12" w:rsidRDefault="00267B12" w:rsidP="004572F2">
            <w:pPr>
              <w:jc w:val="center"/>
            </w:pPr>
            <w:r>
              <w:t>Summary of changes</w:t>
            </w:r>
          </w:p>
        </w:tc>
        <w:tc>
          <w:tcPr>
            <w:tcW w:w="1904" w:type="dxa"/>
            <w:shd w:val="clear" w:color="auto" w:fill="F2F2F2" w:themeFill="background1" w:themeFillShade="F2"/>
          </w:tcPr>
          <w:p w:rsidR="00267B12" w:rsidRDefault="00267B12" w:rsidP="004572F2">
            <w:pPr>
              <w:jc w:val="center"/>
            </w:pPr>
            <w:r>
              <w:t>Version</w:t>
            </w:r>
          </w:p>
        </w:tc>
      </w:tr>
      <w:tr w:rsidR="00267B12" w:rsidTr="004572F2">
        <w:tc>
          <w:tcPr>
            <w:tcW w:w="1526" w:type="dxa"/>
          </w:tcPr>
          <w:p w:rsidR="00267B12" w:rsidRPr="009C71F6" w:rsidRDefault="00267B12" w:rsidP="004572F2"/>
        </w:tc>
        <w:tc>
          <w:tcPr>
            <w:tcW w:w="5812"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04" w:type="dxa"/>
          </w:tcPr>
          <w:p w:rsidR="00267B12" w:rsidRDefault="00267B12" w:rsidP="004572F2">
            <w:pPr>
              <w:rPr>
                <w:rFonts w:asciiTheme="majorHAnsi" w:eastAsiaTheme="majorEastAsia" w:hAnsiTheme="majorHAnsi" w:cstheme="majorBidi"/>
                <w:b/>
                <w:bCs/>
                <w:color w:val="4F81BD" w:themeColor="accent1"/>
                <w:sz w:val="26"/>
                <w:szCs w:val="26"/>
              </w:rPr>
            </w:pPr>
          </w:p>
        </w:tc>
      </w:tr>
      <w:tr w:rsidR="00267B12" w:rsidTr="004572F2">
        <w:tc>
          <w:tcPr>
            <w:tcW w:w="1526" w:type="dxa"/>
          </w:tcPr>
          <w:p w:rsidR="00267B12" w:rsidRPr="009C71F6" w:rsidRDefault="00267B12" w:rsidP="004572F2"/>
        </w:tc>
        <w:tc>
          <w:tcPr>
            <w:tcW w:w="5812"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04" w:type="dxa"/>
          </w:tcPr>
          <w:p w:rsidR="00267B12" w:rsidRDefault="00267B12" w:rsidP="004572F2">
            <w:pPr>
              <w:rPr>
                <w:rFonts w:asciiTheme="majorHAnsi" w:eastAsiaTheme="majorEastAsia" w:hAnsiTheme="majorHAnsi" w:cstheme="majorBidi"/>
                <w:b/>
                <w:bCs/>
                <w:color w:val="4F81BD" w:themeColor="accent1"/>
                <w:sz w:val="26"/>
                <w:szCs w:val="26"/>
              </w:rPr>
            </w:pPr>
          </w:p>
        </w:tc>
      </w:tr>
    </w:tbl>
    <w:p w:rsidR="00267B12" w:rsidRDefault="00267B12" w:rsidP="00267B12">
      <w:pPr>
        <w:spacing w:afterLines="120" w:after="288"/>
        <w:rPr>
          <w:rFonts w:asciiTheme="majorHAnsi" w:eastAsiaTheme="majorEastAsia" w:hAnsiTheme="majorHAnsi" w:cstheme="majorBidi"/>
          <w:b/>
          <w:bCs/>
          <w:color w:val="4F81BD" w:themeColor="accent1"/>
          <w:sz w:val="26"/>
          <w:szCs w:val="26"/>
        </w:rPr>
      </w:pPr>
    </w:p>
    <w:p w:rsidR="008B2C9F" w:rsidRPr="008B2C9F" w:rsidRDefault="00267B12" w:rsidP="008B2C9F">
      <w:pPr>
        <w:spacing w:afterLines="120" w:after="288"/>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Approvals</w:t>
      </w:r>
      <w:r w:rsidR="008B2C9F">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87"/>
        <w:gridCol w:w="1840"/>
        <w:gridCol w:w="1876"/>
        <w:gridCol w:w="1915"/>
        <w:gridCol w:w="1898"/>
      </w:tblGrid>
      <w:tr w:rsidR="00267B12" w:rsidTr="004572F2">
        <w:tc>
          <w:tcPr>
            <w:tcW w:w="1526" w:type="dxa"/>
            <w:shd w:val="clear" w:color="auto" w:fill="F2F2F2" w:themeFill="background1" w:themeFillShade="F2"/>
            <w:vAlign w:val="center"/>
          </w:tcPr>
          <w:p w:rsidR="00267B12" w:rsidRPr="009C71F6" w:rsidRDefault="00267B12" w:rsidP="004572F2">
            <w:pPr>
              <w:jc w:val="center"/>
            </w:pPr>
            <w:r>
              <w:t>Name</w:t>
            </w:r>
          </w:p>
        </w:tc>
        <w:tc>
          <w:tcPr>
            <w:tcW w:w="1890" w:type="dxa"/>
            <w:shd w:val="clear" w:color="auto" w:fill="F2F2F2" w:themeFill="background1" w:themeFillShade="F2"/>
            <w:vAlign w:val="center"/>
          </w:tcPr>
          <w:p w:rsidR="00267B12" w:rsidRDefault="00267B12" w:rsidP="004572F2">
            <w:pPr>
              <w:jc w:val="center"/>
            </w:pPr>
            <w:r>
              <w:t>Version</w:t>
            </w:r>
          </w:p>
        </w:tc>
        <w:tc>
          <w:tcPr>
            <w:tcW w:w="1942" w:type="dxa"/>
            <w:shd w:val="clear" w:color="auto" w:fill="F2F2F2" w:themeFill="background1" w:themeFillShade="F2"/>
            <w:vAlign w:val="center"/>
          </w:tcPr>
          <w:p w:rsidR="00267B12" w:rsidRDefault="00267B12" w:rsidP="004572F2">
            <w:pPr>
              <w:jc w:val="center"/>
            </w:pPr>
            <w:r>
              <w:t>Date</w:t>
            </w:r>
          </w:p>
        </w:tc>
        <w:tc>
          <w:tcPr>
            <w:tcW w:w="1942" w:type="dxa"/>
            <w:shd w:val="clear" w:color="auto" w:fill="F2F2F2" w:themeFill="background1" w:themeFillShade="F2"/>
            <w:vAlign w:val="center"/>
          </w:tcPr>
          <w:p w:rsidR="00267B12" w:rsidRDefault="00267B12" w:rsidP="004572F2">
            <w:pPr>
              <w:jc w:val="center"/>
            </w:pPr>
            <w:r>
              <w:t>Approval context</w:t>
            </w:r>
          </w:p>
        </w:tc>
        <w:tc>
          <w:tcPr>
            <w:tcW w:w="1942" w:type="dxa"/>
            <w:shd w:val="clear" w:color="auto" w:fill="F2F2F2" w:themeFill="background1" w:themeFillShade="F2"/>
            <w:vAlign w:val="center"/>
          </w:tcPr>
          <w:p w:rsidR="00267B12" w:rsidRDefault="00267B12" w:rsidP="004572F2">
            <w:pPr>
              <w:jc w:val="center"/>
            </w:pPr>
            <w:r>
              <w:t>Signature</w:t>
            </w:r>
          </w:p>
        </w:tc>
      </w:tr>
      <w:tr w:rsidR="00267B12" w:rsidTr="004572F2">
        <w:tc>
          <w:tcPr>
            <w:tcW w:w="1526" w:type="dxa"/>
          </w:tcPr>
          <w:p w:rsidR="00267B12" w:rsidRPr="009C71F6" w:rsidRDefault="00267B12" w:rsidP="004572F2"/>
        </w:tc>
        <w:tc>
          <w:tcPr>
            <w:tcW w:w="1890"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42"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42" w:type="dxa"/>
          </w:tcPr>
          <w:p w:rsidR="00267B12" w:rsidRDefault="008B2C9F" w:rsidP="008B2C9F">
            <w:pPr>
              <w:spacing w:before="120" w:after="120"/>
              <w:rPr>
                <w:i/>
              </w:rPr>
            </w:pPr>
            <w:r>
              <w:rPr>
                <w:i/>
              </w:rPr>
              <w:t>This document, along with other management plans should be approved in the definition process.</w:t>
            </w:r>
          </w:p>
          <w:p w:rsidR="008B2C9F" w:rsidRPr="00526493" w:rsidRDefault="008B2C9F" w:rsidP="004572F2">
            <w:pPr>
              <w:rPr>
                <w:i/>
              </w:rPr>
            </w:pPr>
          </w:p>
        </w:tc>
        <w:tc>
          <w:tcPr>
            <w:tcW w:w="1942" w:type="dxa"/>
          </w:tcPr>
          <w:p w:rsidR="00267B12" w:rsidRPr="008A2A56" w:rsidRDefault="008A2A56" w:rsidP="008A2A56">
            <w:pPr>
              <w:spacing w:before="120" w:after="120"/>
              <w:rPr>
                <w:i/>
              </w:rPr>
            </w:pPr>
            <w:r w:rsidRPr="008A2A56">
              <w:rPr>
                <w:i/>
              </w:rPr>
              <w:t>The signature of the person giving approval, usually the sponsor. If approval is not being given by the sponsor, the approval context should explain why.</w:t>
            </w:r>
          </w:p>
        </w:tc>
      </w:tr>
      <w:tr w:rsidR="00267B12" w:rsidTr="004572F2">
        <w:tc>
          <w:tcPr>
            <w:tcW w:w="1526" w:type="dxa"/>
          </w:tcPr>
          <w:p w:rsidR="00267B12" w:rsidRPr="009C71F6" w:rsidRDefault="00267B12" w:rsidP="004572F2"/>
        </w:tc>
        <w:tc>
          <w:tcPr>
            <w:tcW w:w="1890"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42"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42"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42" w:type="dxa"/>
          </w:tcPr>
          <w:p w:rsidR="00267B12" w:rsidRDefault="00267B12" w:rsidP="004572F2">
            <w:pPr>
              <w:rPr>
                <w:rFonts w:asciiTheme="majorHAnsi" w:eastAsiaTheme="majorEastAsia" w:hAnsiTheme="majorHAnsi" w:cstheme="majorBidi"/>
                <w:b/>
                <w:bCs/>
                <w:color w:val="4F81BD" w:themeColor="accent1"/>
                <w:sz w:val="26"/>
                <w:szCs w:val="26"/>
              </w:rPr>
            </w:pPr>
          </w:p>
        </w:tc>
      </w:tr>
    </w:tbl>
    <w:p w:rsidR="00267B12" w:rsidRDefault="00267B12" w:rsidP="00267B12">
      <w:pPr>
        <w:spacing w:afterLines="120" w:after="288"/>
        <w:rPr>
          <w:rFonts w:asciiTheme="majorHAnsi" w:eastAsiaTheme="majorEastAsia" w:hAnsiTheme="majorHAnsi" w:cstheme="majorBidi"/>
          <w:b/>
          <w:bCs/>
          <w:color w:val="4F81BD" w:themeColor="accent1"/>
          <w:sz w:val="26"/>
          <w:szCs w:val="26"/>
        </w:rPr>
      </w:pPr>
    </w:p>
    <w:p w:rsidR="00267B12" w:rsidRPr="009C71F6" w:rsidRDefault="00267B12" w:rsidP="00267B12">
      <w:pPr>
        <w:spacing w:afterLines="120" w:after="288"/>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Distribution</w:t>
      </w:r>
    </w:p>
    <w:tbl>
      <w:tblPr>
        <w:tblStyle w:val="TableGrid"/>
        <w:tblW w:w="9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413"/>
        <w:gridCol w:w="1957"/>
        <w:gridCol w:w="1958"/>
        <w:gridCol w:w="1958"/>
      </w:tblGrid>
      <w:tr w:rsidR="00267B12" w:rsidTr="004572F2">
        <w:tc>
          <w:tcPr>
            <w:tcW w:w="3413" w:type="dxa"/>
            <w:shd w:val="clear" w:color="auto" w:fill="F2F2F2" w:themeFill="background1" w:themeFillShade="F2"/>
            <w:vAlign w:val="center"/>
          </w:tcPr>
          <w:p w:rsidR="00267B12" w:rsidRPr="009C71F6" w:rsidRDefault="00267B12" w:rsidP="004572F2">
            <w:pPr>
              <w:jc w:val="center"/>
            </w:pPr>
            <w:r>
              <w:t>Distributed to:</w:t>
            </w:r>
          </w:p>
        </w:tc>
        <w:tc>
          <w:tcPr>
            <w:tcW w:w="1957" w:type="dxa"/>
            <w:shd w:val="clear" w:color="auto" w:fill="F2F2F2" w:themeFill="background1" w:themeFillShade="F2"/>
            <w:vAlign w:val="center"/>
          </w:tcPr>
          <w:p w:rsidR="00267B12" w:rsidRDefault="00267B12" w:rsidP="004572F2">
            <w:pPr>
              <w:jc w:val="center"/>
            </w:pPr>
            <w:r>
              <w:t>Version</w:t>
            </w:r>
          </w:p>
        </w:tc>
        <w:tc>
          <w:tcPr>
            <w:tcW w:w="1958" w:type="dxa"/>
            <w:shd w:val="clear" w:color="auto" w:fill="F2F2F2" w:themeFill="background1" w:themeFillShade="F2"/>
            <w:vAlign w:val="center"/>
          </w:tcPr>
          <w:p w:rsidR="00267B12" w:rsidRDefault="00267B12" w:rsidP="004572F2">
            <w:pPr>
              <w:jc w:val="center"/>
            </w:pPr>
            <w:r>
              <w:t>Date</w:t>
            </w:r>
          </w:p>
        </w:tc>
        <w:tc>
          <w:tcPr>
            <w:tcW w:w="1958" w:type="dxa"/>
            <w:shd w:val="clear" w:color="auto" w:fill="F2F2F2" w:themeFill="background1" w:themeFillShade="F2"/>
            <w:vAlign w:val="center"/>
          </w:tcPr>
          <w:p w:rsidR="00267B12" w:rsidRDefault="00267B12" w:rsidP="004572F2">
            <w:pPr>
              <w:jc w:val="center"/>
            </w:pPr>
            <w:r>
              <w:t>Signature</w:t>
            </w:r>
          </w:p>
        </w:tc>
      </w:tr>
      <w:tr w:rsidR="00267B12" w:rsidTr="004572F2">
        <w:tc>
          <w:tcPr>
            <w:tcW w:w="3413" w:type="dxa"/>
          </w:tcPr>
          <w:p w:rsidR="00267B12" w:rsidRPr="009C71F6" w:rsidRDefault="00267B12" w:rsidP="004572F2"/>
        </w:tc>
        <w:tc>
          <w:tcPr>
            <w:tcW w:w="1957"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58"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58" w:type="dxa"/>
          </w:tcPr>
          <w:p w:rsidR="00267B12" w:rsidRPr="00526493" w:rsidRDefault="00267B12" w:rsidP="004572F2">
            <w:pPr>
              <w:rPr>
                <w:rFonts w:asciiTheme="majorHAnsi" w:eastAsiaTheme="majorEastAsia" w:hAnsiTheme="majorHAnsi" w:cstheme="majorBidi"/>
                <w:b/>
                <w:bCs/>
                <w:i/>
                <w:color w:val="4F81BD" w:themeColor="accent1"/>
                <w:sz w:val="26"/>
                <w:szCs w:val="26"/>
              </w:rPr>
            </w:pPr>
          </w:p>
        </w:tc>
      </w:tr>
      <w:tr w:rsidR="00267B12" w:rsidTr="004572F2">
        <w:tc>
          <w:tcPr>
            <w:tcW w:w="3413" w:type="dxa"/>
          </w:tcPr>
          <w:p w:rsidR="00267B12" w:rsidRPr="009C71F6" w:rsidRDefault="00267B12" w:rsidP="004572F2"/>
        </w:tc>
        <w:tc>
          <w:tcPr>
            <w:tcW w:w="1957"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58" w:type="dxa"/>
          </w:tcPr>
          <w:p w:rsidR="00267B12" w:rsidRDefault="00267B12" w:rsidP="004572F2">
            <w:pPr>
              <w:rPr>
                <w:rFonts w:asciiTheme="majorHAnsi" w:eastAsiaTheme="majorEastAsia" w:hAnsiTheme="majorHAnsi" w:cstheme="majorBidi"/>
                <w:b/>
                <w:bCs/>
                <w:color w:val="4F81BD" w:themeColor="accent1"/>
                <w:sz w:val="26"/>
                <w:szCs w:val="26"/>
              </w:rPr>
            </w:pPr>
          </w:p>
        </w:tc>
        <w:tc>
          <w:tcPr>
            <w:tcW w:w="1958" w:type="dxa"/>
          </w:tcPr>
          <w:p w:rsidR="00267B12" w:rsidRDefault="00267B12" w:rsidP="004572F2">
            <w:pPr>
              <w:rPr>
                <w:rFonts w:asciiTheme="majorHAnsi" w:eastAsiaTheme="majorEastAsia" w:hAnsiTheme="majorHAnsi" w:cstheme="majorBidi"/>
                <w:b/>
                <w:bCs/>
                <w:color w:val="4F81BD" w:themeColor="accent1"/>
                <w:sz w:val="26"/>
                <w:szCs w:val="26"/>
              </w:rPr>
            </w:pPr>
          </w:p>
        </w:tc>
      </w:tr>
    </w:tbl>
    <w:p w:rsidR="00267B12" w:rsidRDefault="00267B12" w:rsidP="00267B12">
      <w:r>
        <w:lastRenderedPageBreak/>
        <w:br w:type="page"/>
      </w:r>
    </w:p>
    <w:p w:rsidR="00267B12" w:rsidRDefault="00267B12" w:rsidP="00267B12">
      <w:pPr>
        <w:pStyle w:val="Heading2"/>
      </w:pPr>
    </w:p>
    <w:p w:rsidR="00267B12" w:rsidRDefault="00383F87" w:rsidP="00267B12">
      <w:pPr>
        <w:pStyle w:val="Heading2"/>
      </w:pPr>
      <w:r>
        <w:t>Policy</w:t>
      </w:r>
    </w:p>
    <w:p w:rsidR="00267B12" w:rsidRPr="003F0C4D" w:rsidRDefault="00267B12" w:rsidP="00267B12">
      <w:pPr>
        <w:pStyle w:val="NoSpacing"/>
      </w:pPr>
    </w:p>
    <w:tbl>
      <w:tblPr>
        <w:tblStyle w:val="TableGrid"/>
        <w:tblW w:w="0" w:type="auto"/>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Look w:val="04A0" w:firstRow="1" w:lastRow="0" w:firstColumn="1" w:lastColumn="0" w:noHBand="0" w:noVBand="1"/>
      </w:tblPr>
      <w:tblGrid>
        <w:gridCol w:w="4873"/>
        <w:gridCol w:w="4033"/>
      </w:tblGrid>
      <w:tr w:rsidR="008B2C9F" w:rsidTr="002532AF">
        <w:tc>
          <w:tcPr>
            <w:tcW w:w="5061" w:type="dxa"/>
          </w:tcPr>
          <w:p w:rsidR="008B2C9F" w:rsidRDefault="008B2C9F" w:rsidP="004572F2">
            <w:pPr>
              <w:pStyle w:val="Heading3"/>
              <w:keepNext w:val="0"/>
              <w:outlineLvl w:val="2"/>
            </w:pPr>
            <w:r>
              <w:t>Introduction</w:t>
            </w:r>
          </w:p>
          <w:p w:rsidR="008B2C9F" w:rsidRPr="009D282C" w:rsidRDefault="008B2C9F" w:rsidP="004572F2">
            <w:pPr>
              <w:spacing w:after="120"/>
            </w:pPr>
          </w:p>
        </w:tc>
        <w:tc>
          <w:tcPr>
            <w:tcW w:w="4181" w:type="dxa"/>
            <w:shd w:val="clear" w:color="auto" w:fill="D6E3BC" w:themeFill="accent3" w:themeFillTint="66"/>
          </w:tcPr>
          <w:p w:rsidR="008B2C9F" w:rsidRDefault="0077732C" w:rsidP="002532AF">
            <w:pPr>
              <w:spacing w:before="120" w:after="120"/>
            </w:pPr>
            <w:r w:rsidRPr="0077732C">
              <w:t>The introduction will describe the background to the work and make it clear how this document relates to other relevant documents, such as a scope management plan or policies of the host organisation, parent programme or portfolio.</w:t>
            </w:r>
          </w:p>
        </w:tc>
      </w:tr>
      <w:tr w:rsidR="008B2C9F" w:rsidTr="002532AF">
        <w:tc>
          <w:tcPr>
            <w:tcW w:w="5061" w:type="dxa"/>
          </w:tcPr>
          <w:p w:rsidR="008B2C9F" w:rsidRDefault="008B2C9F" w:rsidP="004572F2">
            <w:pPr>
              <w:pStyle w:val="Heading3"/>
              <w:keepNext w:val="0"/>
              <w:outlineLvl w:val="2"/>
            </w:pPr>
            <w:r>
              <w:t>Roles and responsibilities</w:t>
            </w:r>
          </w:p>
          <w:p w:rsidR="008B2C9F" w:rsidRPr="00A57AA4" w:rsidRDefault="008B2C9F" w:rsidP="004572F2">
            <w:pPr>
              <w:spacing w:after="120"/>
            </w:pPr>
            <w:bookmarkStart w:id="0" w:name="_GoBack"/>
            <w:bookmarkEnd w:id="0"/>
          </w:p>
        </w:tc>
        <w:tc>
          <w:tcPr>
            <w:tcW w:w="4181" w:type="dxa"/>
            <w:shd w:val="clear" w:color="auto" w:fill="D6E3BC" w:themeFill="accent3" w:themeFillTint="66"/>
          </w:tcPr>
          <w:p w:rsidR="0077732C" w:rsidRDefault="0077732C" w:rsidP="002532AF">
            <w:pPr>
              <w:spacing w:before="120" w:after="120"/>
            </w:pPr>
            <w:r>
              <w:t xml:space="preserve">Responsibility for benefits management lies primarily with the business areas that have to realise the benefits through outputs and change. The people who represent these business areas on the project or programme management team are called business change managers. </w:t>
            </w:r>
          </w:p>
          <w:p w:rsidR="0077732C" w:rsidRDefault="0077732C" w:rsidP="0077732C">
            <w:pPr>
              <w:spacing w:after="120"/>
            </w:pPr>
            <w:r>
              <w:t xml:space="preserve">Project and programme managers have responsibility for co-ordinating their outputs with the business change managers’ change activities and the </w:t>
            </w:r>
            <w:r>
              <w:lastRenderedPageBreak/>
              <w:t>sponsor has overall responsibility for achieving the benefits in the business case.</w:t>
            </w:r>
          </w:p>
          <w:p w:rsidR="008B2C9F" w:rsidRDefault="0077732C" w:rsidP="0077732C">
            <w:pPr>
              <w:spacing w:after="120"/>
            </w:pPr>
            <w:r>
              <w:t>This section of the management plan must clearly describe these roles and their responsibilities for benefits management. It will also show paths of escalation and communication within the P3 organisation structure</w:t>
            </w:r>
          </w:p>
        </w:tc>
      </w:tr>
      <w:tr w:rsidR="008B2C9F" w:rsidTr="002532AF">
        <w:tc>
          <w:tcPr>
            <w:tcW w:w="5061" w:type="dxa"/>
          </w:tcPr>
          <w:p w:rsidR="008B2C9F" w:rsidRDefault="008B2C9F" w:rsidP="004572F2">
            <w:pPr>
              <w:pStyle w:val="Heading3"/>
              <w:keepNext w:val="0"/>
              <w:outlineLvl w:val="2"/>
            </w:pPr>
            <w:r>
              <w:lastRenderedPageBreak/>
              <w:t>Information management</w:t>
            </w:r>
          </w:p>
          <w:p w:rsidR="008B2C9F" w:rsidRPr="00A57AA4" w:rsidRDefault="008B2C9F" w:rsidP="004572F2">
            <w:pPr>
              <w:spacing w:after="120"/>
            </w:pPr>
          </w:p>
        </w:tc>
        <w:tc>
          <w:tcPr>
            <w:tcW w:w="4181" w:type="dxa"/>
            <w:shd w:val="clear" w:color="auto" w:fill="D6E3BC" w:themeFill="accent3" w:themeFillTint="66"/>
          </w:tcPr>
          <w:p w:rsidR="002532AF" w:rsidRDefault="002532AF" w:rsidP="002532AF">
            <w:pPr>
              <w:spacing w:before="120" w:after="120"/>
            </w:pPr>
            <w:r>
              <w:t>The composition and format of benefits documents (such as benefit profiles) will be defined here.</w:t>
            </w:r>
          </w:p>
          <w:p w:rsidR="008B2C9F" w:rsidRDefault="002532AF" w:rsidP="002532AF">
            <w:pPr>
              <w:spacing w:after="120"/>
            </w:pPr>
            <w:r>
              <w:t>Any required progress reports should be described together with their purpose, timing and intended recipients.</w:t>
            </w:r>
          </w:p>
        </w:tc>
      </w:tr>
      <w:tr w:rsidR="008B2C9F" w:rsidTr="002532AF">
        <w:trPr>
          <w:cantSplit/>
        </w:trPr>
        <w:tc>
          <w:tcPr>
            <w:tcW w:w="5061" w:type="dxa"/>
          </w:tcPr>
          <w:p w:rsidR="008B2C9F" w:rsidRDefault="008B2C9F" w:rsidP="004572F2">
            <w:pPr>
              <w:pStyle w:val="Heading3"/>
              <w:keepNext w:val="0"/>
              <w:outlineLvl w:val="2"/>
            </w:pPr>
            <w:r>
              <w:t>Assurance</w:t>
            </w:r>
          </w:p>
          <w:p w:rsidR="008B2C9F" w:rsidRPr="009060CE" w:rsidRDefault="008B2C9F" w:rsidP="00383F87">
            <w:pPr>
              <w:pStyle w:val="NoSpacing"/>
            </w:pPr>
          </w:p>
        </w:tc>
        <w:tc>
          <w:tcPr>
            <w:tcW w:w="4181" w:type="dxa"/>
            <w:shd w:val="clear" w:color="auto" w:fill="D6E3BC" w:themeFill="accent3" w:themeFillTint="66"/>
          </w:tcPr>
          <w:p w:rsidR="008B2C9F" w:rsidRDefault="002532AF" w:rsidP="002532AF">
            <w:pPr>
              <w:spacing w:before="120" w:after="120"/>
            </w:pPr>
            <w:r w:rsidRPr="002532AF">
              <w:t>The criteria for successful benefits management that will be used in any assurance reviews will be described here.</w:t>
            </w:r>
          </w:p>
        </w:tc>
      </w:tr>
      <w:tr w:rsidR="008B2C9F" w:rsidTr="002532AF">
        <w:trPr>
          <w:cantSplit/>
        </w:trPr>
        <w:tc>
          <w:tcPr>
            <w:tcW w:w="5061" w:type="dxa"/>
          </w:tcPr>
          <w:p w:rsidR="008B2C9F" w:rsidRDefault="008B2C9F" w:rsidP="004572F2">
            <w:pPr>
              <w:pStyle w:val="Heading3"/>
              <w:keepNext w:val="0"/>
              <w:outlineLvl w:val="2"/>
            </w:pPr>
            <w:r>
              <w:t>Budget</w:t>
            </w:r>
          </w:p>
          <w:p w:rsidR="008B2C9F" w:rsidRPr="00383F87" w:rsidRDefault="008B2C9F" w:rsidP="00383F87"/>
        </w:tc>
        <w:tc>
          <w:tcPr>
            <w:tcW w:w="4181" w:type="dxa"/>
            <w:shd w:val="clear" w:color="auto" w:fill="D6E3BC" w:themeFill="accent3" w:themeFillTint="66"/>
          </w:tcPr>
          <w:p w:rsidR="002532AF" w:rsidRDefault="002532AF" w:rsidP="002532AF">
            <w:pPr>
              <w:spacing w:before="120"/>
            </w:pPr>
            <w:r>
              <w:t xml:space="preserve">The costs of achieving benefits include the cost of developing the outputs and the cost of implementing change in business as usual. </w:t>
            </w:r>
          </w:p>
          <w:p w:rsidR="008B2C9F" w:rsidRDefault="002532AF" w:rsidP="002532AF">
            <w:pPr>
              <w:spacing w:before="120" w:after="120"/>
            </w:pPr>
            <w:r>
              <w:t xml:space="preserve">The former is typically easier to quantify as it is the budget for the project producing the relevant output. The latter can often be hidden and harder to attribute. This section must make it clear how benefit </w:t>
            </w:r>
            <w:r>
              <w:lastRenderedPageBreak/>
              <w:t>costs will be accounted for, how budgets will be set and where the figures are located.</w:t>
            </w:r>
          </w:p>
        </w:tc>
      </w:tr>
      <w:tr w:rsidR="008B2C9F" w:rsidTr="002532AF">
        <w:trPr>
          <w:cantSplit/>
        </w:trPr>
        <w:tc>
          <w:tcPr>
            <w:tcW w:w="5061" w:type="dxa"/>
          </w:tcPr>
          <w:p w:rsidR="008B2C9F" w:rsidRDefault="008B2C9F" w:rsidP="004572F2">
            <w:pPr>
              <w:pStyle w:val="Heading3"/>
              <w:keepNext w:val="0"/>
              <w:outlineLvl w:val="2"/>
            </w:pPr>
            <w:r>
              <w:lastRenderedPageBreak/>
              <w:t>Interfaces</w:t>
            </w:r>
          </w:p>
          <w:p w:rsidR="008B2C9F" w:rsidRPr="00383F87" w:rsidRDefault="008B2C9F" w:rsidP="00383F87"/>
        </w:tc>
        <w:tc>
          <w:tcPr>
            <w:tcW w:w="4181" w:type="dxa"/>
            <w:shd w:val="clear" w:color="auto" w:fill="D6E3BC" w:themeFill="accent3" w:themeFillTint="66"/>
          </w:tcPr>
          <w:p w:rsidR="002532AF" w:rsidRDefault="002532AF" w:rsidP="002532AF">
            <w:pPr>
              <w:spacing w:before="120" w:after="120"/>
            </w:pPr>
            <w:r>
              <w:t>The achievement of benefits is the fundamental reason for investing in projects and programmes. They are, amongst other things, impacted by stakeholders, affected by risk and dependent upon schedule.</w:t>
            </w:r>
          </w:p>
          <w:p w:rsidR="008B2C9F" w:rsidRDefault="002532AF" w:rsidP="002532AF">
            <w:pPr>
              <w:spacing w:after="120"/>
            </w:pPr>
            <w:r>
              <w:t>How the interfaces and cross-references between individual benefits and other aspects of the project or programme should be defined in this section.</w:t>
            </w:r>
          </w:p>
        </w:tc>
      </w:tr>
    </w:tbl>
    <w:p w:rsidR="00267B12" w:rsidRDefault="00267B12" w:rsidP="00267B12">
      <w:pPr>
        <w:pStyle w:val="NoSpacing"/>
      </w:pPr>
    </w:p>
    <w:p w:rsidR="00267B12" w:rsidRDefault="00383F87" w:rsidP="00267B12">
      <w:pPr>
        <w:pStyle w:val="Heading2"/>
      </w:pPr>
      <w:r>
        <w:t>Procedure</w:t>
      </w:r>
    </w:p>
    <w:p w:rsidR="00267B12" w:rsidRPr="00821C33" w:rsidRDefault="00267B12" w:rsidP="00267B12">
      <w:pPr>
        <w:pStyle w:val="NoSpacing"/>
      </w:pPr>
    </w:p>
    <w:tbl>
      <w:tblPr>
        <w:tblStyle w:val="TableGrid"/>
        <w:tblW w:w="0" w:type="auto"/>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ook w:val="04A0" w:firstRow="1" w:lastRow="0" w:firstColumn="1" w:lastColumn="0" w:noHBand="0" w:noVBand="1"/>
      </w:tblPr>
      <w:tblGrid>
        <w:gridCol w:w="4867"/>
        <w:gridCol w:w="4039"/>
      </w:tblGrid>
      <w:tr w:rsidR="002532AF" w:rsidTr="002532AF">
        <w:tc>
          <w:tcPr>
            <w:tcW w:w="5070" w:type="dxa"/>
          </w:tcPr>
          <w:p w:rsidR="002532AF" w:rsidRDefault="002532AF" w:rsidP="004572F2">
            <w:pPr>
              <w:pStyle w:val="Heading3"/>
              <w:keepNext w:val="0"/>
              <w:outlineLvl w:val="2"/>
            </w:pPr>
            <w:r>
              <w:t>Quantify</w:t>
            </w:r>
          </w:p>
          <w:p w:rsidR="002532AF" w:rsidRPr="006B100E" w:rsidRDefault="002532AF" w:rsidP="004572F2">
            <w:pPr>
              <w:keepLines/>
              <w:spacing w:before="120" w:after="120"/>
            </w:pPr>
          </w:p>
        </w:tc>
        <w:tc>
          <w:tcPr>
            <w:tcW w:w="4172" w:type="dxa"/>
            <w:shd w:val="clear" w:color="auto" w:fill="D6E3BC" w:themeFill="accent3" w:themeFillTint="66"/>
          </w:tcPr>
          <w:p w:rsidR="002532AF" w:rsidRDefault="002532AF" w:rsidP="002532AF">
            <w:pPr>
              <w:spacing w:before="120" w:after="120"/>
            </w:pPr>
            <w:r w:rsidRPr="002532AF">
              <w:t xml:space="preserve">This section will set out the methods and techniques to be used in quantifying benefits. Guidance should be particularly </w:t>
            </w:r>
            <w:r w:rsidRPr="002532AF">
              <w:lastRenderedPageBreak/>
              <w:t>thorough in areas where quantification is more difficult.</w:t>
            </w:r>
          </w:p>
        </w:tc>
      </w:tr>
      <w:tr w:rsidR="002532AF" w:rsidTr="002532AF">
        <w:trPr>
          <w:cantSplit/>
        </w:trPr>
        <w:tc>
          <w:tcPr>
            <w:tcW w:w="5070" w:type="dxa"/>
          </w:tcPr>
          <w:p w:rsidR="002532AF" w:rsidRDefault="002532AF" w:rsidP="004572F2">
            <w:pPr>
              <w:pStyle w:val="Heading3"/>
              <w:keepNext w:val="0"/>
              <w:outlineLvl w:val="2"/>
            </w:pPr>
            <w:r>
              <w:lastRenderedPageBreak/>
              <w:t>Value</w:t>
            </w:r>
          </w:p>
          <w:p w:rsidR="002532AF" w:rsidRPr="006B100E" w:rsidRDefault="002532AF" w:rsidP="004572F2">
            <w:pPr>
              <w:keepLines/>
              <w:spacing w:before="120" w:after="120"/>
            </w:pPr>
          </w:p>
        </w:tc>
        <w:tc>
          <w:tcPr>
            <w:tcW w:w="4172" w:type="dxa"/>
            <w:shd w:val="clear" w:color="auto" w:fill="D6E3BC" w:themeFill="accent3" w:themeFillTint="66"/>
          </w:tcPr>
          <w:p w:rsidR="002532AF" w:rsidRDefault="002532AF" w:rsidP="002532AF">
            <w:pPr>
              <w:spacing w:before="120" w:after="120"/>
            </w:pPr>
            <w:r>
              <w:t>This section of the management plan must set out the rules that will be used to value the benefits. Historically many projects and programmes have been approved on the basis of overoptimistic valuations of benefits and/or undervaluation of dis-benefits. This section is therefore central to the success of the business case.</w:t>
            </w:r>
          </w:p>
          <w:p w:rsidR="002532AF" w:rsidRDefault="002532AF" w:rsidP="002532AF">
            <w:pPr>
              <w:spacing w:after="120"/>
            </w:pPr>
            <w:r>
              <w:t>The methods for allocating costs to benefits, especially where multiple outputs and multiple benefits have complex inter-relationships, may also be defined here.</w:t>
            </w:r>
          </w:p>
        </w:tc>
      </w:tr>
      <w:tr w:rsidR="002532AF" w:rsidTr="002532AF">
        <w:tc>
          <w:tcPr>
            <w:tcW w:w="5070" w:type="dxa"/>
          </w:tcPr>
          <w:p w:rsidR="002532AF" w:rsidRDefault="002532AF" w:rsidP="002532AF">
            <w:pPr>
              <w:pStyle w:val="Heading3"/>
              <w:spacing w:before="120" w:after="120"/>
              <w:outlineLvl w:val="2"/>
            </w:pPr>
            <w:r>
              <w:t>Plan benefits realisation</w:t>
            </w:r>
          </w:p>
          <w:p w:rsidR="002532AF" w:rsidRPr="006B100E" w:rsidRDefault="002532AF" w:rsidP="004572F2">
            <w:pPr>
              <w:keepLines/>
              <w:spacing w:before="120" w:after="120"/>
            </w:pPr>
          </w:p>
        </w:tc>
        <w:tc>
          <w:tcPr>
            <w:tcW w:w="4172" w:type="dxa"/>
            <w:shd w:val="clear" w:color="auto" w:fill="D6E3BC" w:themeFill="accent3" w:themeFillTint="66"/>
          </w:tcPr>
          <w:p w:rsidR="002532AF" w:rsidRDefault="002532AF" w:rsidP="002532AF">
            <w:pPr>
              <w:keepNext/>
              <w:keepLines/>
              <w:spacing w:before="120" w:after="120"/>
            </w:pPr>
            <w:r>
              <w:t>This section will set out how the benefits realisation work will be co-ordinated with the delivery of outputs; how communications will be maintained and how the organisation should prepare for change.</w:t>
            </w:r>
          </w:p>
          <w:p w:rsidR="002532AF" w:rsidRDefault="002532AF" w:rsidP="002532AF">
            <w:pPr>
              <w:spacing w:after="120"/>
            </w:pPr>
            <w:r>
              <w:t xml:space="preserve">The first step in realising benefits is to measure the ‘before-state’. This section should define the performance indicators that will be used to measure the before-state. The same parameters will be used to measure the end-state to confirm whether the stated value of benefits has been achieved. The timing of these </w:t>
            </w:r>
            <w:r>
              <w:lastRenderedPageBreak/>
              <w:t>measurements and any interim measurements should be defined here.</w:t>
            </w:r>
          </w:p>
        </w:tc>
      </w:tr>
      <w:tr w:rsidR="002532AF" w:rsidTr="002532AF">
        <w:trPr>
          <w:cantSplit/>
        </w:trPr>
        <w:tc>
          <w:tcPr>
            <w:tcW w:w="5070" w:type="dxa"/>
          </w:tcPr>
          <w:p w:rsidR="002532AF" w:rsidRDefault="002532AF" w:rsidP="004572F2">
            <w:pPr>
              <w:pStyle w:val="Heading3"/>
              <w:keepNext w:val="0"/>
              <w:outlineLvl w:val="2"/>
            </w:pPr>
            <w:r>
              <w:lastRenderedPageBreak/>
              <w:t>Realise benefits</w:t>
            </w:r>
          </w:p>
          <w:p w:rsidR="002532AF" w:rsidRPr="006B100E" w:rsidRDefault="002532AF" w:rsidP="004572F2">
            <w:pPr>
              <w:keepLines/>
              <w:spacing w:before="120" w:after="120"/>
            </w:pPr>
          </w:p>
        </w:tc>
        <w:tc>
          <w:tcPr>
            <w:tcW w:w="4172" w:type="dxa"/>
            <w:shd w:val="clear" w:color="auto" w:fill="D6E3BC" w:themeFill="accent3" w:themeFillTint="66"/>
          </w:tcPr>
          <w:p w:rsidR="002532AF" w:rsidRDefault="002532AF" w:rsidP="002532AF">
            <w:pPr>
              <w:spacing w:before="120" w:after="120"/>
            </w:pPr>
            <w:r>
              <w:t>This section should explain how the transition will be managed. This will include the approach to co-ordinating output delivery with organisational change activities and the preferred approaches for change management.</w:t>
            </w:r>
          </w:p>
          <w:p w:rsidR="002532AF" w:rsidRPr="002532AF" w:rsidRDefault="002532AF" w:rsidP="002532AF">
            <w:pPr>
              <w:spacing w:after="120"/>
            </w:pPr>
            <w:r>
              <w:t>On complex programmes this section will be expanded and may be supplemented with a separate change management plan.</w:t>
            </w:r>
          </w:p>
        </w:tc>
      </w:tr>
    </w:tbl>
    <w:p w:rsidR="00267B12" w:rsidRDefault="00267B12" w:rsidP="00267B12">
      <w:pPr>
        <w:pStyle w:val="NoSpacing"/>
      </w:pPr>
    </w:p>
    <w:p w:rsidR="009060E7" w:rsidRPr="00267B12" w:rsidRDefault="009060E7" w:rsidP="00267B12"/>
    <w:sectPr w:rsidR="009060E7" w:rsidRPr="00267B12" w:rsidSect="00B6566D">
      <w:headerReference w:type="default" r:id="rId7"/>
      <w:pgSz w:w="11906" w:h="16838"/>
      <w:pgMar w:top="1702"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C2E" w:rsidRDefault="00727C2E" w:rsidP="00B134CB">
      <w:pPr>
        <w:spacing w:after="0" w:line="240" w:lineRule="auto"/>
      </w:pPr>
      <w:r>
        <w:separator/>
      </w:r>
    </w:p>
  </w:endnote>
  <w:endnote w:type="continuationSeparator" w:id="0">
    <w:p w:rsidR="00727C2E" w:rsidRDefault="00727C2E" w:rsidP="00B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C2E" w:rsidRDefault="00727C2E" w:rsidP="00B134CB">
      <w:pPr>
        <w:spacing w:after="0" w:line="240" w:lineRule="auto"/>
      </w:pPr>
      <w:r>
        <w:separator/>
      </w:r>
    </w:p>
  </w:footnote>
  <w:footnote w:type="continuationSeparator" w:id="0">
    <w:p w:rsidR="00727C2E" w:rsidRDefault="00727C2E" w:rsidP="00B134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6D" w:rsidRDefault="00B6566D" w:rsidP="009A39B0">
    <w:pPr>
      <w:pStyle w:val="Header"/>
      <w:ind w:left="-1418"/>
    </w:pPr>
  </w:p>
  <w:p w:rsidR="00383F87" w:rsidRDefault="00B6566D" w:rsidP="00B6566D">
    <w:pPr>
      <w:pStyle w:val="Header"/>
    </w:pPr>
    <w:r>
      <w:tab/>
    </w:r>
  </w:p>
  <w:p w:rsidR="00383F87" w:rsidRDefault="00383F87" w:rsidP="00383F87">
    <w:pPr>
      <w:pStyle w:val="Header"/>
      <w:jc w:val="center"/>
    </w:pPr>
  </w:p>
  <w:p w:rsidR="00B134CB" w:rsidRDefault="00383F87" w:rsidP="00383F87">
    <w:pPr>
      <w:pStyle w:val="Header"/>
      <w:jc w:val="center"/>
      <w:rPr>
        <w:sz w:val="44"/>
      </w:rPr>
    </w:pPr>
    <w:r>
      <w:rPr>
        <w:sz w:val="44"/>
      </w:rPr>
      <w:t>Benefits management plan</w:t>
    </w:r>
  </w:p>
  <w:p w:rsidR="002532AF" w:rsidRDefault="002532AF" w:rsidP="00383F8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E5D"/>
    <w:multiLevelType w:val="hybridMultilevel"/>
    <w:tmpl w:val="AEC2C680"/>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D7521"/>
    <w:multiLevelType w:val="hybridMultilevel"/>
    <w:tmpl w:val="6EEE075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F05AA0"/>
    <w:multiLevelType w:val="hybridMultilevel"/>
    <w:tmpl w:val="D446326C"/>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203E9"/>
    <w:multiLevelType w:val="hybridMultilevel"/>
    <w:tmpl w:val="551EF16A"/>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abstractNum w:abstractNumId="4" w15:restartNumberingAfterBreak="0">
    <w:nsid w:val="0D13400C"/>
    <w:multiLevelType w:val="hybridMultilevel"/>
    <w:tmpl w:val="ADF290FC"/>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67EDD"/>
    <w:multiLevelType w:val="hybridMultilevel"/>
    <w:tmpl w:val="52B438FA"/>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154EA5"/>
    <w:multiLevelType w:val="hybridMultilevel"/>
    <w:tmpl w:val="8EF257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EC6766"/>
    <w:multiLevelType w:val="hybridMultilevel"/>
    <w:tmpl w:val="3BBAA7E6"/>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F80404"/>
    <w:multiLevelType w:val="hybridMultilevel"/>
    <w:tmpl w:val="55202FF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FC95FE4"/>
    <w:multiLevelType w:val="hybridMultilevel"/>
    <w:tmpl w:val="71D0C180"/>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07401"/>
    <w:multiLevelType w:val="hybridMultilevel"/>
    <w:tmpl w:val="029EC92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50536D"/>
    <w:multiLevelType w:val="hybridMultilevel"/>
    <w:tmpl w:val="82709894"/>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25A21"/>
    <w:multiLevelType w:val="hybridMultilevel"/>
    <w:tmpl w:val="CA781A72"/>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abstractNum w:abstractNumId="13" w15:restartNumberingAfterBreak="0">
    <w:nsid w:val="3CCA40AA"/>
    <w:multiLevelType w:val="hybridMultilevel"/>
    <w:tmpl w:val="F022DC2E"/>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abstractNum w:abstractNumId="14" w15:restartNumberingAfterBreak="0">
    <w:nsid w:val="40EA0A95"/>
    <w:multiLevelType w:val="hybridMultilevel"/>
    <w:tmpl w:val="581A71A2"/>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5" w15:restartNumberingAfterBreak="0">
    <w:nsid w:val="42630BF7"/>
    <w:multiLevelType w:val="hybridMultilevel"/>
    <w:tmpl w:val="61C0711A"/>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abstractNum w:abstractNumId="16" w15:restartNumberingAfterBreak="0">
    <w:nsid w:val="42B83C99"/>
    <w:multiLevelType w:val="hybridMultilevel"/>
    <w:tmpl w:val="0BA4F898"/>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0E4812"/>
    <w:multiLevelType w:val="hybridMultilevel"/>
    <w:tmpl w:val="54082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32A47AD"/>
    <w:multiLevelType w:val="hybridMultilevel"/>
    <w:tmpl w:val="F2CABC90"/>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E71C4"/>
    <w:multiLevelType w:val="hybridMultilevel"/>
    <w:tmpl w:val="9E12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A91F10"/>
    <w:multiLevelType w:val="hybridMultilevel"/>
    <w:tmpl w:val="9E1C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67EC7"/>
    <w:multiLevelType w:val="hybridMultilevel"/>
    <w:tmpl w:val="E5C8E20C"/>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0525E6"/>
    <w:multiLevelType w:val="hybridMultilevel"/>
    <w:tmpl w:val="4CD4B33E"/>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3" w15:restartNumberingAfterBreak="0">
    <w:nsid w:val="759A60AE"/>
    <w:multiLevelType w:val="hybridMultilevel"/>
    <w:tmpl w:val="761C8AC6"/>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4" w15:restartNumberingAfterBreak="0">
    <w:nsid w:val="7640473B"/>
    <w:multiLevelType w:val="hybridMultilevel"/>
    <w:tmpl w:val="BB0442FA"/>
    <w:lvl w:ilvl="0" w:tplc="231A0C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51274"/>
    <w:multiLevelType w:val="hybridMultilevel"/>
    <w:tmpl w:val="4A5C1A6C"/>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abstractNum w:abstractNumId="26" w15:restartNumberingAfterBreak="0">
    <w:nsid w:val="78523307"/>
    <w:multiLevelType w:val="hybridMultilevel"/>
    <w:tmpl w:val="A8844BFC"/>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abstractNum w:abstractNumId="27" w15:restartNumberingAfterBreak="0">
    <w:nsid w:val="7BE37A09"/>
    <w:multiLevelType w:val="hybridMultilevel"/>
    <w:tmpl w:val="F9E8FCA2"/>
    <w:lvl w:ilvl="0" w:tplc="08090001">
      <w:start w:val="1"/>
      <w:numFmt w:val="bullet"/>
      <w:lvlText w:val=""/>
      <w:lvlJc w:val="left"/>
      <w:pPr>
        <w:ind w:left="611" w:hanging="360"/>
      </w:pPr>
      <w:rPr>
        <w:rFonts w:ascii="Symbol" w:hAnsi="Symbol" w:hint="default"/>
      </w:rPr>
    </w:lvl>
    <w:lvl w:ilvl="1" w:tplc="08090003" w:tentative="1">
      <w:start w:val="1"/>
      <w:numFmt w:val="bullet"/>
      <w:lvlText w:val="o"/>
      <w:lvlJc w:val="left"/>
      <w:pPr>
        <w:ind w:left="1331" w:hanging="360"/>
      </w:pPr>
      <w:rPr>
        <w:rFonts w:ascii="Courier New" w:hAnsi="Courier New" w:cs="Courier New" w:hint="default"/>
      </w:rPr>
    </w:lvl>
    <w:lvl w:ilvl="2" w:tplc="08090005" w:tentative="1">
      <w:start w:val="1"/>
      <w:numFmt w:val="bullet"/>
      <w:lvlText w:val=""/>
      <w:lvlJc w:val="left"/>
      <w:pPr>
        <w:ind w:left="2051" w:hanging="360"/>
      </w:pPr>
      <w:rPr>
        <w:rFonts w:ascii="Wingdings" w:hAnsi="Wingdings" w:hint="default"/>
      </w:rPr>
    </w:lvl>
    <w:lvl w:ilvl="3" w:tplc="08090001" w:tentative="1">
      <w:start w:val="1"/>
      <w:numFmt w:val="bullet"/>
      <w:lvlText w:val=""/>
      <w:lvlJc w:val="left"/>
      <w:pPr>
        <w:ind w:left="2771" w:hanging="360"/>
      </w:pPr>
      <w:rPr>
        <w:rFonts w:ascii="Symbol" w:hAnsi="Symbol" w:hint="default"/>
      </w:rPr>
    </w:lvl>
    <w:lvl w:ilvl="4" w:tplc="08090003" w:tentative="1">
      <w:start w:val="1"/>
      <w:numFmt w:val="bullet"/>
      <w:lvlText w:val="o"/>
      <w:lvlJc w:val="left"/>
      <w:pPr>
        <w:ind w:left="3491" w:hanging="360"/>
      </w:pPr>
      <w:rPr>
        <w:rFonts w:ascii="Courier New" w:hAnsi="Courier New" w:cs="Courier New" w:hint="default"/>
      </w:rPr>
    </w:lvl>
    <w:lvl w:ilvl="5" w:tplc="08090005" w:tentative="1">
      <w:start w:val="1"/>
      <w:numFmt w:val="bullet"/>
      <w:lvlText w:val=""/>
      <w:lvlJc w:val="left"/>
      <w:pPr>
        <w:ind w:left="4211" w:hanging="360"/>
      </w:pPr>
      <w:rPr>
        <w:rFonts w:ascii="Wingdings" w:hAnsi="Wingdings" w:hint="default"/>
      </w:rPr>
    </w:lvl>
    <w:lvl w:ilvl="6" w:tplc="08090001" w:tentative="1">
      <w:start w:val="1"/>
      <w:numFmt w:val="bullet"/>
      <w:lvlText w:val=""/>
      <w:lvlJc w:val="left"/>
      <w:pPr>
        <w:ind w:left="4931" w:hanging="360"/>
      </w:pPr>
      <w:rPr>
        <w:rFonts w:ascii="Symbol" w:hAnsi="Symbol" w:hint="default"/>
      </w:rPr>
    </w:lvl>
    <w:lvl w:ilvl="7" w:tplc="08090003" w:tentative="1">
      <w:start w:val="1"/>
      <w:numFmt w:val="bullet"/>
      <w:lvlText w:val="o"/>
      <w:lvlJc w:val="left"/>
      <w:pPr>
        <w:ind w:left="5651" w:hanging="360"/>
      </w:pPr>
      <w:rPr>
        <w:rFonts w:ascii="Courier New" w:hAnsi="Courier New" w:cs="Courier New" w:hint="default"/>
      </w:rPr>
    </w:lvl>
    <w:lvl w:ilvl="8" w:tplc="08090005" w:tentative="1">
      <w:start w:val="1"/>
      <w:numFmt w:val="bullet"/>
      <w:lvlText w:val=""/>
      <w:lvlJc w:val="left"/>
      <w:pPr>
        <w:ind w:left="6371"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17"/>
  </w:num>
  <w:num w:numId="6">
    <w:abstractNumId w:val="19"/>
  </w:num>
  <w:num w:numId="7">
    <w:abstractNumId w:val="11"/>
  </w:num>
  <w:num w:numId="8">
    <w:abstractNumId w:val="0"/>
  </w:num>
  <w:num w:numId="9">
    <w:abstractNumId w:val="4"/>
  </w:num>
  <w:num w:numId="10">
    <w:abstractNumId w:val="5"/>
  </w:num>
  <w:num w:numId="11">
    <w:abstractNumId w:val="16"/>
  </w:num>
  <w:num w:numId="12">
    <w:abstractNumId w:val="9"/>
  </w:num>
  <w:num w:numId="13">
    <w:abstractNumId w:val="21"/>
  </w:num>
  <w:num w:numId="14">
    <w:abstractNumId w:val="7"/>
  </w:num>
  <w:num w:numId="15">
    <w:abstractNumId w:val="18"/>
  </w:num>
  <w:num w:numId="16">
    <w:abstractNumId w:val="24"/>
  </w:num>
  <w:num w:numId="17">
    <w:abstractNumId w:val="2"/>
  </w:num>
  <w:num w:numId="18">
    <w:abstractNumId w:val="20"/>
  </w:num>
  <w:num w:numId="19">
    <w:abstractNumId w:val="14"/>
  </w:num>
  <w:num w:numId="20">
    <w:abstractNumId w:val="15"/>
  </w:num>
  <w:num w:numId="21">
    <w:abstractNumId w:val="22"/>
  </w:num>
  <w:num w:numId="22">
    <w:abstractNumId w:val="3"/>
  </w:num>
  <w:num w:numId="23">
    <w:abstractNumId w:val="26"/>
  </w:num>
  <w:num w:numId="24">
    <w:abstractNumId w:val="13"/>
  </w:num>
  <w:num w:numId="25">
    <w:abstractNumId w:val="12"/>
  </w:num>
  <w:num w:numId="26">
    <w:abstractNumId w:val="25"/>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CB"/>
    <w:rsid w:val="00002F52"/>
    <w:rsid w:val="0001338B"/>
    <w:rsid w:val="00030BAF"/>
    <w:rsid w:val="00073DB8"/>
    <w:rsid w:val="000E6C11"/>
    <w:rsid w:val="001145DB"/>
    <w:rsid w:val="001B3A37"/>
    <w:rsid w:val="001C71E7"/>
    <w:rsid w:val="00207FED"/>
    <w:rsid w:val="002120D3"/>
    <w:rsid w:val="00235535"/>
    <w:rsid w:val="00246B2B"/>
    <w:rsid w:val="002532AF"/>
    <w:rsid w:val="00267B12"/>
    <w:rsid w:val="002B16BD"/>
    <w:rsid w:val="002B5476"/>
    <w:rsid w:val="002C1003"/>
    <w:rsid w:val="002D3217"/>
    <w:rsid w:val="002E5927"/>
    <w:rsid w:val="003450DB"/>
    <w:rsid w:val="00360664"/>
    <w:rsid w:val="00361957"/>
    <w:rsid w:val="003673EA"/>
    <w:rsid w:val="00370CAA"/>
    <w:rsid w:val="00383F87"/>
    <w:rsid w:val="00390F4E"/>
    <w:rsid w:val="00392D17"/>
    <w:rsid w:val="003A2602"/>
    <w:rsid w:val="003D1B8B"/>
    <w:rsid w:val="003E35BA"/>
    <w:rsid w:val="003F0C4D"/>
    <w:rsid w:val="003F370D"/>
    <w:rsid w:val="0041546A"/>
    <w:rsid w:val="00426ED6"/>
    <w:rsid w:val="00463772"/>
    <w:rsid w:val="00467259"/>
    <w:rsid w:val="00473E79"/>
    <w:rsid w:val="004B038F"/>
    <w:rsid w:val="004E5AC6"/>
    <w:rsid w:val="00526493"/>
    <w:rsid w:val="00565FEB"/>
    <w:rsid w:val="00585CAD"/>
    <w:rsid w:val="005F4A52"/>
    <w:rsid w:val="00620548"/>
    <w:rsid w:val="00621333"/>
    <w:rsid w:val="006E393A"/>
    <w:rsid w:val="006E7E77"/>
    <w:rsid w:val="00707BDC"/>
    <w:rsid w:val="00710D6C"/>
    <w:rsid w:val="00727C2E"/>
    <w:rsid w:val="007540F1"/>
    <w:rsid w:val="0077732C"/>
    <w:rsid w:val="00805E85"/>
    <w:rsid w:val="00821C33"/>
    <w:rsid w:val="0085270D"/>
    <w:rsid w:val="008A2A56"/>
    <w:rsid w:val="008B2C9F"/>
    <w:rsid w:val="009060CE"/>
    <w:rsid w:val="009060E7"/>
    <w:rsid w:val="00942C9C"/>
    <w:rsid w:val="00954288"/>
    <w:rsid w:val="009863EC"/>
    <w:rsid w:val="009978EB"/>
    <w:rsid w:val="009A39B0"/>
    <w:rsid w:val="009C70BB"/>
    <w:rsid w:val="009C71F6"/>
    <w:rsid w:val="009D282C"/>
    <w:rsid w:val="00A20B0E"/>
    <w:rsid w:val="00A57AA4"/>
    <w:rsid w:val="00A767B7"/>
    <w:rsid w:val="00A77870"/>
    <w:rsid w:val="00A77B5C"/>
    <w:rsid w:val="00A8539D"/>
    <w:rsid w:val="00AA1758"/>
    <w:rsid w:val="00AE2B6D"/>
    <w:rsid w:val="00AE5353"/>
    <w:rsid w:val="00B07246"/>
    <w:rsid w:val="00B134CB"/>
    <w:rsid w:val="00B3651C"/>
    <w:rsid w:val="00B447BA"/>
    <w:rsid w:val="00B57969"/>
    <w:rsid w:val="00B6566D"/>
    <w:rsid w:val="00B75171"/>
    <w:rsid w:val="00B90840"/>
    <w:rsid w:val="00C14378"/>
    <w:rsid w:val="00C54162"/>
    <w:rsid w:val="00CC491F"/>
    <w:rsid w:val="00D0668E"/>
    <w:rsid w:val="00D07B25"/>
    <w:rsid w:val="00D81B32"/>
    <w:rsid w:val="00DA5B01"/>
    <w:rsid w:val="00DB01A9"/>
    <w:rsid w:val="00DC58E4"/>
    <w:rsid w:val="00E02D21"/>
    <w:rsid w:val="00E24866"/>
    <w:rsid w:val="00E32E16"/>
    <w:rsid w:val="00E9672A"/>
    <w:rsid w:val="00EB3D03"/>
    <w:rsid w:val="00EE5D4A"/>
    <w:rsid w:val="00EF59C9"/>
    <w:rsid w:val="00FA0BF3"/>
    <w:rsid w:val="00FE1571"/>
    <w:rsid w:val="00FF79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263C2E6-2487-48D3-AB28-0479851C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673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15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4CB"/>
  </w:style>
  <w:style w:type="paragraph" w:styleId="Footer">
    <w:name w:val="footer"/>
    <w:basedOn w:val="Normal"/>
    <w:link w:val="FooterChar"/>
    <w:uiPriority w:val="99"/>
    <w:unhideWhenUsed/>
    <w:rsid w:val="00B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4CB"/>
  </w:style>
  <w:style w:type="paragraph" w:styleId="BalloonText">
    <w:name w:val="Balloon Text"/>
    <w:basedOn w:val="Normal"/>
    <w:link w:val="BalloonTextChar"/>
    <w:uiPriority w:val="99"/>
    <w:semiHidden/>
    <w:unhideWhenUsed/>
    <w:rsid w:val="009A3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9B0"/>
    <w:rPr>
      <w:rFonts w:ascii="Tahoma" w:hAnsi="Tahoma" w:cs="Tahoma"/>
      <w:sz w:val="16"/>
      <w:szCs w:val="16"/>
    </w:rPr>
  </w:style>
  <w:style w:type="paragraph" w:styleId="NoSpacing">
    <w:name w:val="No Spacing"/>
    <w:uiPriority w:val="1"/>
    <w:qFormat/>
    <w:rsid w:val="00EE5D4A"/>
    <w:pPr>
      <w:spacing w:after="0" w:line="240" w:lineRule="auto"/>
    </w:pPr>
  </w:style>
  <w:style w:type="table" w:styleId="TableGrid">
    <w:name w:val="Table Grid"/>
    <w:basedOn w:val="TableNormal"/>
    <w:uiPriority w:val="59"/>
    <w:rsid w:val="00E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393A"/>
    <w:rPr>
      <w:sz w:val="16"/>
      <w:szCs w:val="16"/>
    </w:rPr>
  </w:style>
  <w:style w:type="paragraph" w:styleId="CommentText">
    <w:name w:val="annotation text"/>
    <w:basedOn w:val="Normal"/>
    <w:link w:val="CommentTextChar"/>
    <w:uiPriority w:val="99"/>
    <w:unhideWhenUsed/>
    <w:rsid w:val="006E393A"/>
    <w:pPr>
      <w:spacing w:line="240" w:lineRule="auto"/>
    </w:pPr>
    <w:rPr>
      <w:sz w:val="20"/>
      <w:szCs w:val="20"/>
    </w:rPr>
  </w:style>
  <w:style w:type="character" w:customStyle="1" w:styleId="CommentTextChar">
    <w:name w:val="Comment Text Char"/>
    <w:basedOn w:val="DefaultParagraphFont"/>
    <w:link w:val="CommentText"/>
    <w:uiPriority w:val="99"/>
    <w:rsid w:val="006E393A"/>
    <w:rPr>
      <w:sz w:val="20"/>
      <w:szCs w:val="20"/>
    </w:rPr>
  </w:style>
  <w:style w:type="paragraph" w:styleId="CommentSubject">
    <w:name w:val="annotation subject"/>
    <w:basedOn w:val="CommentText"/>
    <w:next w:val="CommentText"/>
    <w:link w:val="CommentSubjectChar"/>
    <w:uiPriority w:val="99"/>
    <w:semiHidden/>
    <w:unhideWhenUsed/>
    <w:rsid w:val="006E393A"/>
    <w:rPr>
      <w:b/>
      <w:bCs/>
    </w:rPr>
  </w:style>
  <w:style w:type="character" w:customStyle="1" w:styleId="CommentSubjectChar">
    <w:name w:val="Comment Subject Char"/>
    <w:basedOn w:val="CommentTextChar"/>
    <w:link w:val="CommentSubject"/>
    <w:uiPriority w:val="99"/>
    <w:semiHidden/>
    <w:rsid w:val="006E393A"/>
    <w:rPr>
      <w:b/>
      <w:bCs/>
      <w:sz w:val="20"/>
      <w:szCs w:val="20"/>
    </w:rPr>
  </w:style>
  <w:style w:type="paragraph" w:styleId="TOC2">
    <w:name w:val="toc 2"/>
    <w:basedOn w:val="Normal"/>
    <w:next w:val="Normal"/>
    <w:autoRedefine/>
    <w:uiPriority w:val="39"/>
    <w:unhideWhenUsed/>
    <w:rsid w:val="00621333"/>
    <w:pPr>
      <w:spacing w:after="100"/>
      <w:ind w:left="220"/>
    </w:pPr>
  </w:style>
  <w:style w:type="paragraph" w:styleId="ListParagraph">
    <w:name w:val="List Paragraph"/>
    <w:basedOn w:val="Normal"/>
    <w:uiPriority w:val="34"/>
    <w:qFormat/>
    <w:rsid w:val="00621333"/>
    <w:pPr>
      <w:ind w:left="720"/>
      <w:contextualSpacing/>
    </w:pPr>
  </w:style>
  <w:style w:type="character" w:styleId="Hyperlink">
    <w:name w:val="Hyperlink"/>
    <w:basedOn w:val="DefaultParagraphFont"/>
    <w:uiPriority w:val="99"/>
    <w:unhideWhenUsed/>
    <w:rsid w:val="00621333"/>
    <w:rPr>
      <w:color w:val="0000FF" w:themeColor="hyperlink"/>
      <w:u w:val="single"/>
    </w:rPr>
  </w:style>
  <w:style w:type="character" w:styleId="FollowedHyperlink">
    <w:name w:val="FollowedHyperlink"/>
    <w:basedOn w:val="DefaultParagraphFont"/>
    <w:uiPriority w:val="99"/>
    <w:semiHidden/>
    <w:unhideWhenUsed/>
    <w:rsid w:val="00621333"/>
    <w:rPr>
      <w:color w:val="800080" w:themeColor="followedHyperlink"/>
      <w:u w:val="single"/>
    </w:rPr>
  </w:style>
  <w:style w:type="character" w:customStyle="1" w:styleId="Heading2Char">
    <w:name w:val="Heading 2 Char"/>
    <w:basedOn w:val="DefaultParagraphFont"/>
    <w:link w:val="Heading2"/>
    <w:uiPriority w:val="9"/>
    <w:rsid w:val="003673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157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ncyclopaedia">
      <a:dk1>
        <a:sysClr val="windowText" lastClr="000000"/>
      </a:dk1>
      <a:lt1>
        <a:sysClr val="window" lastClr="FFFFFF"/>
      </a:lt1>
      <a:dk2>
        <a:srgbClr val="1F497D"/>
      </a:dk2>
      <a:lt2>
        <a:srgbClr val="EEECE1"/>
      </a:lt2>
      <a:accent1>
        <a:srgbClr val="4F81BD"/>
      </a:accent1>
      <a:accent2>
        <a:srgbClr val="DE0F0F"/>
      </a:accent2>
      <a:accent3>
        <a:srgbClr val="9BBB59"/>
      </a:accent3>
      <a:accent4>
        <a:srgbClr val="9182A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dc:creator>
  <cp:lastModifiedBy>Guo, Hank</cp:lastModifiedBy>
  <cp:revision>3</cp:revision>
  <cp:lastPrinted>2013-11-06T15:48:00Z</cp:lastPrinted>
  <dcterms:created xsi:type="dcterms:W3CDTF">2018-04-21T14:17:00Z</dcterms:created>
  <dcterms:modified xsi:type="dcterms:W3CDTF">2018-04-21T14:17:00Z</dcterms:modified>
</cp:coreProperties>
</file>