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entrance at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friend's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house. He has knocked once</w:t>
        <w:br w:type="textWrapping"/>
        <w:t xml:space="preserve">and again,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waits patiently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result of the appeal.</w:t>
        <w:br w:type="textWrapping"/>
        <w:t xml:space="preserve">He is standing: a position of unrest. He ought to</w:t>
        <w:br w:type="textWrapping"/>
        <w:t xml:space="preserve">obtain a seat speedily within the house.</w:t>
        <w:br w:type="textWrapping"/>
        <w:tab/>
        <w:t xml:space="preserve">He knocks. He will not force an entrance. He</w:t>
        <w:br w:type="textWrapping"/>
        <w:t xml:space="preserve">appeals to the heart of the owner. Ch. v. 1, 2. Also</w:t>
        <w:br w:type="textWrapping"/>
        <w:t xml:space="preserve">Luke xii. 35-38.</w:t>
        <w:br w:type="textWrapping"/>
        <w:tab/>
        <w:t xml:space="preserve">Jesus now represents Himself as nearer than in any</w:t>
        <w:br w:type="textWrapping"/>
        <w:t xml:space="preserve">previous epistle. He is not “coming quickly”; He is</w:t>
        <w:br w:type="textWrapping"/>
        <w:t xml:space="preserve">already “at the door.”</w:t>
        <w:br w:type="textWrapping"/>
        <w:tab/>
        <w:t xml:space="preserve">Have we not here a hint of one of the forms of</w:t>
        <w:br w:type="textWrapping"/>
        <w:t xml:space="preserve">temptation, to which this wealthy angel and Church</w:t>
        <w:br w:type="textWrapping"/>
        <w:t xml:space="preserve">were captives? Were they not given to worldly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Were they not probably givers of expensive</w:t>
        <w:br w:type="textWrapping"/>
        <w:t xml:space="preserve">suppers? Were they not faring sumptuously, and collecting at entertainments the great and the rich? If</w:t>
        <w:br w:type="textWrapping"/>
        <w:t xml:space="preserve">they would admit Christ to their tables, He would dictate to them a better hospitality. Their own entertainments would receive their return and requital in this</w:t>
        <w:br w:type="textWrapping"/>
        <w:t xml:space="preserve">life. Jesus would teach them to invite the poor and</w:t>
        <w:br w:type="textWrapping"/>
        <w:t xml:space="preserve">the outcast, who could not recompense them: that they</w:t>
        <w:br w:type="textWrapping"/>
        <w:t xml:space="preserve">might be recompensed at the resurrection of the just:</w:t>
        <w:br w:type="textWrapping"/>
        <w:t xml:space="preserve">Luke xiv. 12-14.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21. “To him that overcometh will I grant to sit with me on</w:t>
        <w:br w:type="textWrapping"/>
        <w:t xml:space="preserve">my throne, even as </w:t>
      </w:r>
      <w:sdt>
        <w:sdtPr>
          <w:id w:val="188281908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overcame, and sat down with my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 on His Throne. 22. He that hath an ear, let him hear</w:t>
        <w:br w:type="textWrapping"/>
        <w:t xml:space="preserve">what the Spirit saith unto the churches.”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Every Church is called to wrestle with some form of</w:t>
        <w:br w:type="textWrapping"/>
        <w:t xml:space="preserve">evil. This Church Satan seems content to leave to itself.</w:t>
        <w:br w:type="textWrapping"/>
        <w:t xml:space="preserve">There was no persecution—no rampant outbreak of</w:t>
        <w:br w:type="textWrapping"/>
        <w:t xml:space="preserve">false doctrine; it was already in the net of mammon</w:t>
        <w:br w:type="textWrapping"/>
        <w:t xml:space="preserve">and worldliness. It was against this that they were</w:t>
        <w:br w:type="textWrapping"/>
        <w:t xml:space="preserve">called to do battle. Some of this fallen Church might</w:t>
        <w:br w:type="textWrapping"/>
        <w:t xml:space="preserve">still be roused, and overcome.</w:t>
        <w:br w:type="textWrapping"/>
        <w:tab/>
        <w:t xml:space="preserve">The question of victory or defeat, all through these</w:t>
        <w:br w:type="textWrapping"/>
        <w:t xml:space="preserve">epistles, relates not to eternal life or eternal death: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7T19:22:2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'I'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pm6P5BxkFvljPDreafw5c+thQ==">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