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 do, or to leave undone,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instructions are laid down</w:t>
        <w:br w:type="textWrapping"/>
        <w:t xml:space="preserve">to this warrior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is the trusty secret messenger of the</w:t>
        <w:br w:type="textWrapping"/>
        <w:t xml:space="preserve">throne, who understands already the designs of the</w:t>
        <w:br w:type="textWrapping"/>
        <w:t xml:space="preserve">monarch, and is equipped for them.</w:t>
        <w:br w:type="textWrapping"/>
        <w:tab/>
        <w:t xml:space="preserve">Thus all the parts of the representation breathe the</w:t>
        <w:br w:type="textWrapping"/>
        <w:t xml:space="preserve">language of war—the thunder, the horse, the bow, the</w:t>
        <w:br w:type="textWrapping"/>
        <w:t xml:space="preserve">predicted conquest. And after this follow the trumpets,</w:t>
        <w:br w:type="textWrapping"/>
        <w:t xml:space="preserve">a still less mistakable sign of war.</w:t>
        <w:br w:type="textWrapping"/>
        <w:tab/>
        <w:t xml:space="preserve">“A crown was given unto Him.” It has been</w:t>
        <w:br w:type="textWrapping"/>
        <w:t xml:space="preserve">questioned whether by the Greek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employed in</w:t>
        <w:br w:type="textWrapping"/>
        <w:t xml:space="preserve">this place, we are to understand a royal crown or</w:t>
        <w:br w:type="textWrapping"/>
        <w:t xml:space="preserve">merely a chaplet of victory. But it appears that in</w:t>
        <w:br w:type="textWrapping"/>
        <w:t xml:space="preserve">the </w:t>
      </w:r>
      <w:sdt>
        <w:sdtPr>
          <w:id w:val="-173425712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Seventy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used to describe the royal circlet,</w:t>
        <w:br w:type="textWrapping"/>
        <w:t xml:space="preserve">as witness these passages—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took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king’s</w:t>
        <w:br w:type="textWrapping"/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off his head, the weight whereof was a</w:t>
        <w:br w:type="textWrapping"/>
        <w:t xml:space="preserve">talent of gold with the precious stones, and it was set</w:t>
        <w:br w:type="textWrapping"/>
        <w:t xml:space="preserve">on David’s head” (2 Sam. xii.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1 Chron. xx. 2).</w:t>
        <w:br w:type="textWrapping"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thy strength, O Lord.”</w:t>
        <w:br w:type="textWrapping"/>
        <w:t xml:space="preserve">“Thou settest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pure gold on his head”</w:t>
        <w:br w:type="textWrapping"/>
        <w:t xml:space="preserve">(Psalm xxi. 3; 2 Macc. xiv. 4). And the Saviour’s</w:t>
        <w:br w:type="textWrapping"/>
        <w:t xml:space="preserve">crown of thorns was in mockery of His derided kingly</w:t>
        <w:br w:type="textWrapping"/>
        <w:t xml:space="preserve">title.</w:t>
        <w:br w:type="textWrapping"/>
        <w:tab/>
      </w:r>
      <w:sdt>
        <w:sdtPr>
          <w:id w:val="1366527956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is also true, that this crown is won by</w:t>
        <w:br w:type="textWrapping"/>
        <w:t xml:space="preserve">previous services. The rider is the same Lion of Judah</w:t>
        <w:br w:type="textWrapping"/>
        <w:t xml:space="preserve">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open the book,” and now is</w:t>
        <w:br w:type="textWrapping"/>
        <w:t xml:space="preserve">crowned, going forth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conquer.” The</w:t>
        <w:br w:type="textWrapping"/>
        <w:t xml:space="preserve">crown is the gift of the throne: he is now adorned, like</w:t>
        <w:br w:type="textWrapping"/>
        <w:t xml:space="preserve">the kingly elders who sit around the throne. By it he is</w:t>
        <w:br w:type="textWrapping"/>
        <w:t xml:space="preserve">distinguished from the other servants of the monarch</w:t>
        <w:br w:type="textWrapping"/>
        <w:t xml:space="preserve">when he comes forth to reap, xiv.</w:t>
        <w:br w:type="textWrapping"/>
        <w:tab/>
        <w:t xml:space="preserve">“And he went out conquering and to conquer.”</w:t>
        <w:br w:type="textWrapping"/>
        <w:t xml:space="preserve">The rider goes forth from the palace, and from heaven</w:t>
        <w:br w:type="textWrapping"/>
        <w:t xml:space="preserve">towards earth.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Στέφανος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2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’Ε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νίκησεν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5-27T19:07:1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'Seventy' here refers to the Septuagint, the Greek translation of the OT.</w:t>
      </w:r>
    </w:p>
  </w:comment>
  <w:comment w:author="John Boughan" w:id="1" w:date="2025-05-27T19:10:07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there is a point 1, or if this is referring to verse 2.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yIEWqn1rKC2tzQFRlnpzW4lcw==">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