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Balaam’s ass was, let him take it literally. If this is</w:t>
        <w:br w:type="textWrapping"/>
        <w:t xml:space="preserve">beyond his faith, let him take it symbolically. It is,</w:t>
        <w:br w:type="textWrapping"/>
        <w:t xml:space="preserve">I trust, the only case in which he will find his faith so</w:t>
        <w:br w:type="textWrapping"/>
        <w:t xml:space="preserve">tried.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FTgj0lKtYxqzDWnFMpmO38opBg==">CgMxLjA4AHIhMXl2QnA2TFZlVGNDWlFVQjd6amozRlBNNGNZcG1jMksw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