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mentioned as coming up thence, save the King of the</w:t>
        <w:br w:type="textWrapping"/>
        <w:t xml:space="preserve">Locusts. By this characteristic he is mentioned once</w:t>
        <w:br w:type="textWrapping"/>
        <w:t xml:space="preserve">more. xvii. 8.</w:t>
        <w:br w:type="textWrapping"/>
        <w:tab/>
        <w:t xml:space="preserve">Of our Lord it is said, “Thou shalt call his name</w:t>
        <w:br w:type="textWrapping"/>
        <w:t xml:space="preserve">Jesus 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]; for he shall save his people from their</w:t>
        <w:br w:type="textWrapping"/>
        <w:t xml:space="preserve">sins” (Matt. i. 21). Here, the king of the locusts is</w:t>
        <w:br w:type="textWrapping"/>
        <w:t xml:space="preserve">named “D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R,” for he shall destroy his people</w:t>
        <w:br w:type="textWrapping"/>
        <w:t xml:space="preserve">in their sins.</w:t>
        <w:br w:type="textWrapping"/>
        <w:tab/>
        <w:t xml:space="preserve">Abaddon and Apollyon both signify “destroyer.”</w:t>
        <w:br w:type="textWrapping"/>
        <w:t xml:space="preserve">Abaddon is the name of the bottomless pit in Hebrew.</w:t>
        <w:br w:type="textWrapping"/>
        <w:t xml:space="preserve">“Hades (Sheol) is naked before him, and Destruction</w:t>
        <w:br w:type="textWrapping"/>
        <w:t xml:space="preserve">(Abaddon) hath no covering” (Job xxvi. 6). “Hades</w:t>
        <w:br w:type="textWrapping"/>
        <w:t xml:space="preserve">and Abaddon are before the Lord” (Prov. xv. 11;</w:t>
        <w:br w:type="textWrapping"/>
        <w:t xml:space="preserve">xxvii. 20). Thus the angel of the pit takes the name of</w:t>
        <w:br w:type="textWrapping"/>
        <w:t xml:space="preserve">the pit.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destruction;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Saviour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 ii. 11).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Destroyer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Antichrist the False King and Lord. The</w:t>
        <w:br w:type="textWrapping"/>
        <w:t xml:space="preserve">one descended from heaven: the other ascends from</w:t>
        <w:br w:type="textWrapping"/>
        <w:t xml:space="preserve">the pit.</w:t>
        <w:br w:type="textWrapping"/>
        <w:tab/>
        <w:t xml:space="preserve">By the title of “Destroyer” and equivalent words,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 before us is known to the prophets. Jer.</w:t>
        <w:br w:type="textWrapping"/>
        <w:t xml:space="preserve">iv. 7; Jer. vi. 26; Isa. xvi. 4; Dan. viii. 24, 25;</w:t>
        <w:br w:type="textWrapping"/>
        <w:t xml:space="preserve">Dan. ix. 26; xi. 44.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wpb4QiBVGulW/2ugkJhitZzrw==">CgMxLjA4AHIhMVRYRXlxSVJTX1lhamVQeG5la0w1Wlc4Zi11b2hBb01E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