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Thus the book and the messenger are in harmony.</w:t>
        <w:br w:type="textWrapping"/>
        <w:t xml:space="preserve">We first learn of the rainbow around His head, and of</w:t>
        <w:br w:type="textWrapping"/>
        <w:t xml:space="preserve">His sunlike face, but we end with His feet of fire.</w:t>
        <w:br w:type="textWrapping"/>
        <w:t xml:space="preserve">His voice is a roar, and the answering thunders accord</w:t>
        <w:br w:type="textWrapping"/>
        <w:t xml:space="preserve">with the bitterness of the book. He is the messenger</w:t>
        <w:br w:type="textWrapping"/>
        <w:t xml:space="preserve">of mercy and of justice, and hence a soul in harmony</w:t>
        <w:br w:type="textWrapping"/>
        <w:t xml:space="preserve">with Him and with God would perceive a sensible</w:t>
        <w:br w:type="textWrapping"/>
        <w:t xml:space="preserve">difference of taste in His communications. The words</w:t>
        <w:br w:type="textWrapping"/>
        <w:t xml:space="preserve">of grace and promise are sweet; the threats of offended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justice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executed must cause sympathetic sorrow. Thus</w:t>
        <w:br w:type="textWrapping"/>
        <w:t xml:space="preserve">amidst the rejoicing crowd, Jesus wept over Jerusalem.</w:t>
        <w:br w:type="textWrapping"/>
        <w:t xml:space="preserve">This observation accounts for the strong and frequent</w:t>
        <w:br w:type="textWrapping"/>
        <w:t xml:space="preserve">connection between the angel and the book.</w:t>
        <w:br w:type="textWrapping"/>
        <w:br w:type="textWrapping"/>
        <w:tab/>
        <w:t xml:space="preserve">11.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they say unto me,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Thou must prophesy again</w:t>
        <w:br w:type="textWrapping"/>
        <w:t xml:space="preserve">against peoples, and nations, and tongues, and many kings.”</w:t>
        <w:br w:type="textWrapping"/>
        <w:br w:type="textWrapping"/>
        <w:tab/>
        <w:t xml:space="preserve">“Thou must prophesy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again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The first prophecy</w:t>
        <w:br w:type="textWrapping"/>
        <w:t xml:space="preserve">begins at the fourth chapter, and ends with the eleventh.</w:t>
        <w:br w:type="textWrapping"/>
        <w:t xml:space="preserve">The second begins with the twelfth chapter.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prophecy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Two Witnesses is yet to come. It is of</w:t>
        <w:br w:type="textWrapping"/>
        <w:t xml:space="preserve">so different a character, as to prove that a new dispensation is begun, as soon as ever it has commenced.</w:t>
        <w:br w:type="textWrapping"/>
        <w:tab/>
        <w:t xml:space="preserve">John’s second testimony is a prophesying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again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</w:t>
        <w:br w:type="textWrapping"/>
        <w:t xml:space="preserve">goes over the same ground anew in the succeeding</w:t>
        <w:br w:type="textWrapping"/>
        <w:t xml:space="preserve">chapters. The second prophecy is remarkably dove-tailed on to the first. It is predicted, before the first</w:t>
        <w:br w:type="textWrapping"/>
        <w:t xml:space="preserve">has ceased. It rises out of the eaten book of the first</w:t>
        <w:br w:type="textWrapping"/>
        <w:t xml:space="preserve">prophecy. There were topics closely connected with</w:t>
        <w:br w:type="textWrapping"/>
        <w:t xml:space="preserve">those touched on by John in the previous part, on</w:t>
        <w:br w:type="textWrapping"/>
        <w:t xml:space="preserve">which it was desirable that more detailed information</w:t>
        <w:br w:type="textWrapping"/>
        <w:t xml:space="preserve">should be given.</w:t>
        <w:br w:type="textWrapping"/>
        <w:tab/>
        <w:t xml:space="preserve">He is to prophesy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against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nations and kings.</w:t>
        <w:br w:type="textWrapping"/>
        <w:t xml:space="preserve">This seems to be the force of the preposition. Because of their sins, which are yet more fully manifested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Tr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gelles.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HyFFZQl4Krala7nEYwi07D9Zdg==">CgMxLjA4AHIhMUtBRGhHREdrM0FXT3lJa2tCN3otRWpTOUloV0J0aHJ3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