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“prophets.” That which is literal prayer on earth</w:t>
        <w:br w:type="textWrapping"/>
        <w:t xml:space="preserve">becomes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heaven.</w:t>
        <w:br w:type="textWrapping"/>
        <w:tab/>
        <w:t xml:space="preserve">They stand before God in His character of “Lord of</w:t>
        <w:br w:type="textWrapping"/>
        <w:t xml:space="preserve">the earth.” This is not God’s title while Israel is cast</w:t>
        <w:br w:type="textWrapping"/>
        <w:t xml:space="preserve">off. In Daniel, after the temple is taken and the city</w:t>
        <w:br w:type="textWrapping"/>
        <w:t xml:space="preserve">destroyed, the Most High takes the title of “the God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(Dan. ii. 18, 28, 37, 44, etc.). Nor is this</w:t>
        <w:br w:type="textWrapping"/>
        <w:t xml:space="preserve">the title which God takes during the church dispensation. Then His characteristic name is, “the Father of</w:t>
        <w:br w:type="textWrapping"/>
        <w:t xml:space="preserve">our Lord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6; 2 Cor. 1. 3;</w:t>
        <w:br w:type="textWrapping"/>
        <w:t xml:space="preserve">Eph. i. 3, etc.). But, as the Most High in Daniel’s day</w:t>
        <w:br w:type="textWrapping"/>
        <w:t xml:space="preserve">retired to the heaven, giving up earth to the Gentiles,</w:t>
        <w:br w:type="textWrapping"/>
        <w:t xml:space="preserve">and leaving Israel beneath their power; so now He</w:t>
        <w:br w:type="textWrapping"/>
        <w:t xml:space="preserve">is returning to His former position as the manitested</w:t>
        <w:br w:type="textWrapping"/>
        <w:t xml:space="preserve">Owner of the earth.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of earth” is the title</w:t>
        <w:br w:type="textWrapping"/>
        <w:t xml:space="preserve">taken by the Most High when He brought Israel by</w:t>
        <w:br w:type="textWrapping"/>
        <w:t xml:space="preserve">miracle into the land.</w:t>
        <w:br w:type="textWrapping"/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if any wishes to hurt them, fire proceedeth out of</w:t>
        <w:br w:type="textWrapping"/>
        <w:t xml:space="preserve">their mouth and devoureth their enemies; and if any wishes to</w:t>
        <w:br w:type="textWrapping"/>
        <w:t xml:space="preserve">hurt them, thus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killed.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This marks the abiding enmity of man against God and</w:t>
        <w:br w:type="textWrapping"/>
        <w:t xml:space="preserve">His people. The Gentiles have possession of the city</w:t>
        <w:br w:type="textWrapping"/>
        <w:t xml:space="preserve">in armed might: what, then, can withstand their power,</w:t>
        <w:br w:type="textWrapping"/>
        <w:t xml:space="preserve">or resist their enmity? God has messengers adapted</w:t>
        <w:br w:type="textWrapping"/>
        <w:t xml:space="preserve">to every emergency. Those of Gospel times could not</w:t>
        <w:br w:type="textWrapping"/>
        <w:t xml:space="preserve">witness for 1,260 days in such a scene. God then steps</w:t>
        <w:br w:type="textWrapping"/>
        <w:t xml:space="preserve">back to former dispensations, and brings into the field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Alford’s candid admission here is worthy of notice. “This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description is most difficult to apply on the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allegorical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interpretation, as is that which follows. And as might be expected,</w:t>
        <w:br w:type="textWrapping"/>
        <w:t xml:space="preserve">the allegorists halt and are perplexed exceedingly. The double</w:t>
        <w:br w:type="textWrapping"/>
        <w:t xml:space="preserve">announcement here seems to stamp the literal sense, and the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’έι τις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) ‘If any one,’ and (</w:t>
      </w:r>
      <w:sdt>
        <w:sdtPr>
          <w:id w:val="-76078998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δει αυτον ’αποκτανθηναι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) ‘he must be</w:t>
        <w:br w:type="textWrapping"/>
        <w:t xml:space="preserve">killed’ are decisive against any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national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application of the</w:t>
        <w:br w:type="textWrapping"/>
        <w:t xml:space="preserve">words. [See Elliott.]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Individuality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could not have been more</w:t>
        <w:br w:type="textWrapping"/>
        <w:t xml:space="preserve">strongly indicated.”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9-03T19:32:1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find all the Greek vowels with the correct accents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2oWEV/m/IZw7H4z1xAS3yFP+8A==">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