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DRAGON AND THE WOMAN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1. “And a great sign was seen in the heaven, a woman clothed</w:t>
        <w:br w:type="textWrapping"/>
        <w:t xml:space="preserve">with the sun, and the moon underneath her feet, and on her head</w:t>
        <w:br w:type="textWrapping"/>
        <w:t xml:space="preserve">a crown of twelve stars: 2. and she being with child is crying</w:t>
        <w:br w:type="textWrapping"/>
        <w:t xml:space="preserve">out, travailing, and agonizing herself (with a view) to bring</w:t>
        <w:br w:type="textWrapping"/>
        <w:t xml:space="preserve">forth.”</w:t>
        <w:br w:type="textWrapping"/>
        <w:br w:type="textWrapping"/>
        <w:t xml:space="preserve">THIS is not properly a “wonder,” but a “sign.” It</w:t>
        <w:br w:type="textWrapping"/>
        <w:t xml:space="preserve">is a sign of future events; as the cloud out of the west</w:t>
        <w:br w:type="textWrapping"/>
        <w:t xml:space="preserve">is a sign of rain at hand. Matt. xvi. 3. It is the sign</w:t>
        <w:br w:type="textWrapping"/>
        <w:t xml:space="preserve">of Satan’s head about to be bruised, of Israel’s deliverance, and of the kingdom at hand. It is a “sign,” as</w:t>
        <w:br w:type="textWrapping"/>
        <w:t xml:space="preserve">offering truth symbolically. As the parable of the fig</w:t>
        <w:br w:type="textWrapping"/>
        <w:t xml:space="preserve">tree,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Matthew, shows Israel in a figurative point of view, nigh to the “summer” of the</w:t>
        <w:br w:type="textWrapping"/>
        <w:t xml:space="preserve">kingdom, so does it answer to the woman’s pregnancy</w:t>
        <w:br w:type="textWrapping"/>
        <w:t xml:space="preserve">here. Symbol runs through this series of related chapters (xi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.—xiv.).</w:t>
        <w:br w:type="textWrapping"/>
        <w:tab/>
        <w:t xml:space="preserve">“Why are we to take this woman as symbolic, and not</w:t>
        <w:br w:type="textWrapping"/>
        <w:t xml:space="preserve">literal?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of her place in heaven, her clothing,</w:t>
        <w:br w:type="textWrapping"/>
        <w:t xml:space="preserve">and Child. None of these can be literal. She is presented</w:t>
        <w:br w:type="textWrapping"/>
        <w:t xml:space="preserve">symbolically, because she has two places; a literal one</w:t>
        <w:br w:type="textWrapping"/>
        <w:t xml:space="preserve">on earth, and another on high. Since she is now away</w:t>
        <w:br w:type="textWrapping"/>
        <w:t xml:space="preserve">from her place, she, that is a city literally, appears as a</w:t>
        <w:br w:type="textWrapping"/>
        <w:t xml:space="preserve">woman.</w:t>
        <w:br w:type="textWrapping"/>
        <w:tab/>
        <w:t xml:space="preserve">Who is this Woman?</w:t>
        <w:br w:type="textWrapping"/>
        <w:tab/>
        <w:t xml:space="preserve">1. Some say, It is THE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But no: this cannot be. The Church is a “chaste virgin” (2 Cor. xi. 2).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2OeRC9PHKFlte9dPQpbXY861PQ==">CgMxLjA4AHIhMTl5dHFRelRLcXBEZjBKNy1SbHNuSXJWSjhRWEdmM01w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