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literal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birth. For the woman is not a</w:t>
        <w:br w:type="textWrapping"/>
        <w:t xml:space="preserve">literal woman, but a city. (2)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birth, or regeneration; for the persons constituting the</w:t>
        <w:br w:type="textWrapping"/>
        <w:t xml:space="preserve">child are already born of the Spirit. (3)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birth,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“They loved not their lives</w:t>
        <w:br w:type="textWrapping"/>
        <w:t xml:space="preserve">unto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Hence this is a birth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death;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resurrection. Christ, the possessor of the key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Hades, opens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them the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none can shut it.</w:t>
        <w:br w:type="textWrapping"/>
        <w:t xml:space="preserve">In this manner Paul expounds the second psalm. “God</w:t>
        <w:br w:type="textWrapping"/>
        <w:t xml:space="preserve">fulfilled the same (promise) . . . . in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raised up</w:t>
        <w:br w:type="textWrapping"/>
        <w:t xml:space="preserve">Jesus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 is also written in the second psalm,</w:t>
        <w:br w:type="textWrapping"/>
        <w:t xml:space="preserve">Thou art my son; this day have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begotten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(Acts</w:t>
        <w:br w:type="textWrapping"/>
        <w:t xml:space="preserve">xiii. 33). With resurrection ascension also is connected,</w:t>
        <w:br w:type="textWrapping"/>
        <w:t xml:space="preserve">as in Jesus’ case. And of both regeneration and of</w:t>
        <w:br w:type="textWrapping"/>
        <w:t xml:space="preserve">resurrection, baptism is the type. It discovers to us</w:t>
        <w:br w:type="textWrapping"/>
        <w:t xml:space="preserve">death and burial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mersion, and both spiritual</w:t>
        <w:br w:type="textWrapping"/>
        <w:t xml:space="preserve">and bodily resurrection,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believer.</w:t>
        <w:br w:type="textWrapping"/>
        <w:tab/>
        <w:t xml:space="preserve">“A male son.” Who is it?</w:t>
        <w:br w:type="textWrapping"/>
        <w:tab/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SRAE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L; though in the expression “man-child” there is a reference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history in Egypt;</w:t>
        <w:br w:type="textWrapping"/>
        <w:t xml:space="preserve">since it was against the male children especially that</w:t>
        <w:br w:type="textWrapping"/>
        <w:t xml:space="preserve">Pharaoh’s persecution raged, and in that point Israel’s</w:t>
        <w:br w:type="textWrapping"/>
        <w:t xml:space="preserve">trouble was especially felt. ’Tis not Israel, for though</w:t>
        <w:br w:type="textWrapping"/>
        <w:t xml:space="preserve">they overcome the nations of Canaan, they overcame</w:t>
        <w:br w:type="textWrapping"/>
        <w:t xml:space="preserve">not Satan; nor could it be said of them, that “they</w:t>
        <w:br w:type="textWrapping"/>
        <w:t xml:space="preserve">loved not their lives unto death.”</w:t>
        <w:br w:type="textWrapping"/>
        <w:tab/>
        <w:t xml:space="preserve">2. Nor is it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child is a unit composed</w:t>
        <w:br w:type="textWrapping"/>
        <w:t xml:space="preserve">of many. Christ was His mother’s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first-born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has other sons. Satan goes forth against</w:t>
        <w:br w:type="textWrapping"/>
        <w:t xml:space="preserve">“the remnant of her seed.” As the mother is symbolic, so must the child be. The mother is Jerusalem,</w:t>
        <w:br w:type="textWrapping"/>
        <w:t xml:space="preserve">and Jesus was not born there.</w:t>
        <w:br w:type="textWrapping"/>
        <w:tab/>
        <w:t xml:space="preserve">3. Nor is it THE CHURCH, simply and singly considered.</w:t>
        <w:br w:type="textWrapping"/>
        <w:tab/>
        <w:t xml:space="preserve">(1) For this child is caught up, not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Thess.</w:t>
        <w:br w:type="textWrapping"/>
        <w:t xml:space="preserve">iv. 16), but to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ere Christ has descended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Z5+V4LkHPnc7/YH1DK90/krfcg==">CgMxLjA4AHIhMTJUaURTdkJ5Wlk1U0o2RUpESXNKb25XdUVVbUJ5S2FG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