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explained; because only that portion was symbolic.</w:t>
        <w:br w:type="textWrapping"/>
        <w:t xml:space="preserve">The lamps were a visible material reality. But their</w:t>
        <w:br w:type="textWrapping"/>
        <w:t xml:space="preserve">significance was a secret, they were emblematic of a</w:t>
        <w:br w:type="textWrapping"/>
        <w:t xml:space="preserve">spiritual reality on earth.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are not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Our Lord’s explanation is very important.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Whatever is symbolic is covered with the veil of</w:t>
        <w:br w:type="textWrapping"/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then the book in general is called by God</w:t>
        <w:br w:type="textWrapping"/>
        <w:t xml:space="preserve">“the Apocalypse,”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unveiling,” 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SYMBOLIC. Symbols there are in it, but many of them are</w:t>
        <w:br w:type="textWrapping"/>
        <w:t xml:space="preserve">explained. Symbols there are,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</w:t>
        <w:br w:type="textWrapping"/>
        <w:t xml:space="preserve">found,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a veil over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conclude, then, that</w:t>
        <w:br w:type="textWrapping"/>
        <w:t xml:space="preserve">the Apocalypse is not “a book of symbols,”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be</w:t>
        <w:br w:type="textWrapping"/>
        <w:t xml:space="preserve">taken 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wherever absurdity does not result.</w:t>
        <w:br w:type="textWrapping"/>
        <w:tab/>
        <w:t xml:space="preserve">These stars are rulers, despised on earth, shining in</w:t>
        <w:br w:type="textWrapping"/>
        <w:t xml:space="preserve">heaven; rejected by the world’s governors, but owned</w:t>
        <w:br w:type="textWrapping"/>
        <w:t xml:space="preserve">as part of the furniture of God’s temple above. They</w:t>
        <w:br w:type="textWrapping"/>
        <w:t xml:space="preserve">are appointed by Christ, and not by men. They are</w:t>
        <w:br w:type="textWrapping"/>
        <w:t xml:space="preserve">not created by each Church’s vote, retaining their place</w:t>
        <w:br w:type="textWrapping"/>
        <w:t xml:space="preserve">and power so long only as they please the Church, and</w:t>
        <w:br w:type="textWrapping"/>
        <w:t xml:space="preserve">by virtue of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And, as they are not</w:t>
        <w:br w:type="textWrapping"/>
        <w:t xml:space="preserve">created by the churches, so neither do they cease to</w:t>
        <w:br w:type="textWrapping"/>
        <w:t xml:space="preserve">exist, if displeasing to them. Christ upholds. His</w:t>
        <w:br w:type="textWrapping"/>
        <w:t xml:space="preserve">supply of grace and His appointment made them what</w:t>
        <w:br w:type="textWrapping"/>
        <w:t xml:space="preserve">they are,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to Him they stand or 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“Angels,” be it observed, is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designation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is given as the explanation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These are the messengers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my Father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(John xx. 21). They are</w:t>
        <w:br w:type="textWrapping"/>
        <w:t xml:space="preserve">ministers of the Priest of the heavenly sanctuary.</w:t>
        <w:br w:type="textWrapping"/>
        <w:tab/>
        <w:t xml:space="preserve">They are entitled “angels of the churches,” as</w:t>
        <w:br w:type="textWrapping"/>
        <w:t xml:space="preserve">Hengstenberg remarks, because they were sent of God</w:t>
        <w:br w:type="textWrapping"/>
        <w:t xml:space="preserve">to the churches, to be guardians of them. And he very</w:t>
        <w:br w:type="textWrapping"/>
        <w:t xml:space="preserve">appropriately compares with the expression before us,</w:t>
        <w:br w:type="textWrapping"/>
        <w:t xml:space="preserve">the one used by our Lord concerning guardian angels—</w:t>
        <w:br w:type="textWrapping"/>
        <w:t xml:space="preserve">“In heaven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[angels of the little ones] do</w:t>
        <w:br w:type="textWrapping"/>
        <w:t xml:space="preserve">always behold the face of my Father” (Matt. xviii. 10).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j2/NWhUbT55SUYTVLiiytUVIw==">CgMxLjA4AHIhMUp1YVdOdE0tanpNcGNwN3RjSGdVUTJEWjlzMExIYXc1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