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wickedness and sorrow. It is that time during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Woman has a place of safety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wilderness. There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temptation in the wilderness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there is an “hour of temptation” over</w:t>
        <w:br w:type="textWrapping"/>
        <w:t xml:space="preserve">all the earth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forty-two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Three years and a half is a period of persecution</w:t>
        <w:br w:type="textWrapping"/>
        <w:t xml:space="preserve">which has often been noticed before. Such was the duration of the persecution of Antiochus Epiphanes. Such</w:t>
        <w:br w:type="textWrapping"/>
        <w:t xml:space="preserve">was the duration also of that by Nero. It began in</w:t>
        <w:br w:type="textWrapping"/>
        <w:t xml:space="preserve">the middle of November, 64, and ended at Nero’s</w:t>
        <w:br w:type="textWrapping"/>
        <w:t xml:space="preserve">death, June 9th,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68 (M. Stuart).</w:t>
        <w:br w:type="textWrapping"/>
        <w:br w:type="textWrapping"/>
        <w:tab/>
        <w:t xml:space="preserve">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opened his mouth for blasphemy against God, to</w:t>
        <w:br w:type="textWrapping"/>
        <w:t xml:space="preserve">blaspheme His name, and His tabernacle, those that tabernacle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  <w:tab/>
        <w:t xml:space="preserve">The expression before us is a very strong one. “He</w:t>
        <w:br w:type="textWrapping"/>
        <w:t xml:space="preserve">opened his mouth for blasphemy.” We sometimes say</w:t>
        <w:br w:type="textWrapping"/>
        <w:t xml:space="preserve">of the thoroughly profane—</w:t>
      </w:r>
      <w:sdt>
        <w:sdtPr>
          <w:id w:val="-178318561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never opens his lips</w:t>
        <w:br w:type="textWrapping"/>
        <w:t xml:space="preserve">without an oath.” But in such cases the offender probably does it from habit, and without thought. Here</w:t>
        <w:br w:type="textWrapping"/>
        <w:t xml:space="preserve">it is of set purpose, the result of enmity. He cannot</w:t>
        <w:br w:type="textWrapping"/>
        <w:t xml:space="preserve">smite God, but he can speak against Him; and that he</w:t>
        <w:br w:type="textWrapping"/>
        <w:t xml:space="preserve">does with all his heart, and at all times. The Dragon</w:t>
        <w:br w:type="textWrapping"/>
        <w:t xml:space="preserve">hates Michael his conqueror, and the hatred he feels</w:t>
        <w:br w:type="textWrapping"/>
        <w:t xml:space="preserve">expresses itself freely through the Dragon’s son, who is</w:t>
        <w:br w:type="textWrapping"/>
        <w:t xml:space="preserve">of his father’s spirit.</w:t>
        <w:br w:type="textWrapping"/>
        <w:tab/>
        <w:t xml:space="preserve">Men will be prepared for blasphemy against God in</w:t>
        <w:br w:type="textWrapping"/>
        <w:t xml:space="preserve">the latter day. It will spring out of a false and impious theory concerning the origin of evil. It will be</w:t>
        <w:br w:type="textWrapping"/>
        <w:t xml:space="preserve">held and taught, that evil arises not from defect of the</w:t>
        <w:br w:type="textWrapping"/>
        <w:t xml:space="preserve">creature, but of the Creator.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cause</w:t>
        <w:br w:type="textWrapping"/>
        <w:t xml:space="preserve">of sin; and that evil is defilement from without, not</w:t>
        <w:br w:type="textWrapping"/>
        <w:t xml:space="preserve">wickedness from within. The works of creation, it</w:t>
        <w:br w:type="textWrapping"/>
        <w:t xml:space="preserve">will be believed,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or less of evil.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away of animal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 is sinful. But God has so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1-02T23:10:1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 the statement here starts with a single quote, but ends with a double quote.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1oIABaEkJLzNRtjK+WpocnNtkw==">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