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commanded that the Jews of Alexandria should</w:t>
        <w:br w:type="textWrapping"/>
        <w:t xml:space="preserve">be deprived of their ancient privileges of citizenship,</w:t>
        <w:br w:type="textWrapping"/>
        <w:t xml:space="preserve">and enrolled in the inferior class; and that when they</w:t>
        <w:br w:type="textWrapping"/>
        <w:t xml:space="preserve">came to be enrolled,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IVY-LEAF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EMBLEM OF THE GOD</w:t>
        <w:br w:type="textWrapping"/>
        <w:t xml:space="preserve">BACCHUS, SHOULD BE IMPRINTED ON THEIR BODIES WITH</w:t>
        <w:br w:type="textWrapping"/>
        <w:t xml:space="preserve">A HOT IRON;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that if any obstinately resisted he</w:t>
        <w:br w:type="textWrapping"/>
        <w:t xml:space="preserve">should be put 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edict caused some hundreds of Jews to apostatize.</w:t>
        <w:br w:type="textWrapping"/>
        <w:tab/>
        <w:t xml:space="preserve">In Mussulman countries similar laws have been</w:t>
        <w:br w:type="textWrapping"/>
        <w:t xml:space="preserve">enacted against Christians. “Abdallah commanded</w:t>
        <w:br w:type="textWrapping"/>
        <w:t xml:space="preserve">the Christians to shave their faces, and caused both</w:t>
        <w:br w:type="textWrapping"/>
        <w:t xml:space="preserve">Jews and Christians to be marked in the hand” (Picart’s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Ceremonies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177).</w:t>
        <w:br w:type="textWrapping"/>
        <w:br w:type="textWrapping"/>
        <w:tab/>
        <w:t xml:space="preserve">17. “And that none might be able to buy or sell, except he</w:t>
        <w:br w:type="textWrapping"/>
        <w:t xml:space="preserve">hath the mark, the name of the Wild Beast, or the number of his</w:t>
        <w:br w:type="textWrapping"/>
        <w:t xml:space="preserve">name.”</w:t>
        <w:br w:type="textWrapping"/>
        <w:br w:type="textWrapping"/>
        <w:tab/>
        <w:t xml:space="preserve">See in this verse the proof that the mark is literal</w:t>
        <w:br w:type="textWrapping"/>
        <w:t xml:space="preserve">and abiding, or at least continually renewed. Ere the</w:t>
        <w:br w:type="textWrapping"/>
        <w:t xml:space="preserve">bargain is struck in the market—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 me your</w:t>
        <w:br w:type="textWrapping"/>
        <w:t xml:space="preserve">hand!” or, “Uncover your forehead!” and the transaction stands good, if the 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Each is made a</w:t>
        <w:br w:type="textWrapping"/>
        <w:t xml:space="preserve">spy on the other. The dealings of commerce are made</w:t>
        <w:br w:type="textWrapping"/>
        <w:t xml:space="preserve">illegal without this.</w:t>
        <w:br w:type="textWrapping"/>
        <w:tab/>
        <w:t xml:space="preserve">How strongly, then, is this misbelief fastened on the</w:t>
        <w:br w:type="textWrapping"/>
        <w:t xml:space="preserve">world’s neck! All need to buy, if not to sell. The</w:t>
        <w:br w:type="textWrapping"/>
        <w:t xml:space="preserve">mark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required in order to buy or sell.</w:t>
        <w:br w:type="textWrapping"/>
        <w:t xml:space="preserve">Thus religion is brought into the common concerns</w:t>
        <w:br w:type="textWrapping"/>
        <w:t xml:space="preserve">of life.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planned with devilish wisdom, and fearfully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succeed.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designed, that none 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buy or sell, save the devotees of the False Christ.</w:t>
        <w:br w:type="textWrapping"/>
        <w:tab/>
        <w:t xml:space="preserve">The former verse spoke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whereon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to be impressed. Two were allowed: the</w:t>
        <w:br w:type="textWrapping"/>
        <w:t xml:space="preserve">forehead or right hand. The forehead, as the most</w:t>
        <w:br w:type="textWrapping"/>
        <w:t xml:space="preserve">conspicuous, would be used by the enthusiastic: the</w:t>
        <w:br w:type="textWrapping"/>
        <w:t xml:space="preserve">hand by females, as less detrimental to beauty.</w:t>
        <w:br w:type="textWrapping"/>
        <w:tab/>
        <w:t xml:space="preserve">There is a further choice, as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imprint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/VylvM1tX6obl4vEDDyMjTimoA==">CgMxLjA4AHIhMWhmajA4YVdrcVRwNGhqaThFZWg2OHhCRkJ5WlRLZTJR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